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844B5" w14:textId="7B6325D2" w:rsidR="005A2BA2" w:rsidRDefault="007104FE" w:rsidP="00CC1AA6">
      <w:pPr>
        <w:jc w:val="center"/>
        <w:rPr>
          <w:rFonts w:ascii="Garamond" w:hAnsi="Garamond"/>
          <w:sz w:val="32"/>
          <w:szCs w:val="32"/>
          <w:u w:val="single"/>
        </w:rPr>
      </w:pPr>
      <w:r>
        <w:rPr>
          <w:rFonts w:ascii="Garamond" w:hAnsi="Garamond"/>
          <w:sz w:val="32"/>
          <w:szCs w:val="32"/>
          <w:u w:val="single"/>
        </w:rPr>
        <w:t xml:space="preserve">Disability </w:t>
      </w:r>
      <w:r w:rsidR="00DE7D60">
        <w:rPr>
          <w:rFonts w:ascii="Garamond" w:hAnsi="Garamond"/>
          <w:sz w:val="32"/>
          <w:szCs w:val="32"/>
          <w:u w:val="single"/>
        </w:rPr>
        <w:t xml:space="preserve">Discrimination in Pandemic </w:t>
      </w:r>
      <w:r w:rsidR="005A638C">
        <w:rPr>
          <w:rFonts w:ascii="Garamond" w:hAnsi="Garamond"/>
          <w:sz w:val="32"/>
          <w:szCs w:val="32"/>
          <w:u w:val="single"/>
        </w:rPr>
        <w:t>Rationing</w:t>
      </w:r>
    </w:p>
    <w:p w14:paraId="1068EE44" w14:textId="24896F76" w:rsidR="00D327EB" w:rsidRDefault="00D327EB" w:rsidP="00D327EB">
      <w:pPr>
        <w:rPr>
          <w:rFonts w:ascii="Garamond" w:hAnsi="Garamond"/>
          <w:sz w:val="32"/>
          <w:szCs w:val="32"/>
          <w:u w:val="single"/>
        </w:rPr>
      </w:pPr>
    </w:p>
    <w:p w14:paraId="4785C3A7" w14:textId="7F5FE58C" w:rsidR="00D327EB" w:rsidRDefault="00D327EB" w:rsidP="00D327EB">
      <w:pPr>
        <w:rPr>
          <w:rFonts w:ascii="Baskerville" w:hAnsi="Baskerville"/>
          <w:sz w:val="20"/>
          <w:szCs w:val="20"/>
        </w:rPr>
      </w:pPr>
      <w:r>
        <w:rPr>
          <w:rFonts w:ascii="Baskerville" w:hAnsi="Baskerville"/>
          <w:sz w:val="20"/>
          <w:szCs w:val="20"/>
        </w:rPr>
        <w:t>Alex James Miller Tate</w:t>
      </w:r>
    </w:p>
    <w:p w14:paraId="1CF62073" w14:textId="7F0BF726" w:rsidR="00D327EB" w:rsidRDefault="00D327EB" w:rsidP="00D327EB">
      <w:pPr>
        <w:rPr>
          <w:rFonts w:ascii="Baskerville" w:hAnsi="Baskerville"/>
          <w:sz w:val="20"/>
          <w:szCs w:val="20"/>
        </w:rPr>
      </w:pPr>
      <w:r>
        <w:rPr>
          <w:rFonts w:ascii="Baskerville" w:hAnsi="Baskerville"/>
          <w:sz w:val="20"/>
          <w:szCs w:val="20"/>
        </w:rPr>
        <w:t>Centre for Medical Law &amp; Ethics, King’s College London</w:t>
      </w:r>
    </w:p>
    <w:p w14:paraId="0915739B" w14:textId="3DA01447" w:rsidR="00D327EB" w:rsidRPr="00D327EB" w:rsidRDefault="00D327EB" w:rsidP="00D327EB">
      <w:pPr>
        <w:rPr>
          <w:rFonts w:ascii="Baskerville" w:hAnsi="Baskerville"/>
          <w:sz w:val="20"/>
          <w:szCs w:val="20"/>
        </w:rPr>
      </w:pPr>
      <w:hyperlink r:id="rId8" w:history="1">
        <w:r w:rsidRPr="001A1108">
          <w:rPr>
            <w:rStyle w:val="Hyperlink"/>
            <w:rFonts w:ascii="Baskerville" w:hAnsi="Baskerville"/>
            <w:sz w:val="20"/>
            <w:szCs w:val="20"/>
          </w:rPr>
          <w:t>alexander.miller_tate@kcl.ac.uk</w:t>
        </w:r>
      </w:hyperlink>
      <w:r>
        <w:rPr>
          <w:rFonts w:ascii="Baskerville" w:hAnsi="Baskerville"/>
          <w:sz w:val="20"/>
          <w:szCs w:val="20"/>
        </w:rPr>
        <w:t xml:space="preserve"> </w:t>
      </w:r>
    </w:p>
    <w:p w14:paraId="1136244A" w14:textId="77777777" w:rsidR="00CC1AA6" w:rsidRPr="00CC1AA6" w:rsidRDefault="00CC1AA6" w:rsidP="00CC1AA6">
      <w:pPr>
        <w:jc w:val="center"/>
        <w:rPr>
          <w:rFonts w:ascii="Garamond" w:hAnsi="Garamond"/>
          <w:sz w:val="32"/>
          <w:szCs w:val="32"/>
          <w:u w:val="single"/>
        </w:rPr>
      </w:pPr>
    </w:p>
    <w:p w14:paraId="74898ADB" w14:textId="4BF2579F" w:rsidR="0050327B" w:rsidRPr="005A2BA2" w:rsidRDefault="0050327B" w:rsidP="00DA6815">
      <w:pPr>
        <w:spacing w:after="80" w:line="276" w:lineRule="auto"/>
        <w:rPr>
          <w:rFonts w:ascii="Garamond" w:hAnsi="Garamond"/>
          <w:b/>
          <w:bCs/>
        </w:rPr>
      </w:pPr>
      <w:r w:rsidRPr="005A2BA2">
        <w:rPr>
          <w:rFonts w:ascii="Garamond" w:hAnsi="Garamond"/>
          <w:b/>
          <w:bCs/>
        </w:rPr>
        <w:t>Abstract</w:t>
      </w:r>
    </w:p>
    <w:p w14:paraId="23E062CE" w14:textId="2CB684F1" w:rsidR="0050327B" w:rsidRDefault="00AD6058" w:rsidP="00DA6815">
      <w:pPr>
        <w:spacing w:after="80" w:line="276" w:lineRule="auto"/>
        <w:rPr>
          <w:rFonts w:ascii="Garamond" w:hAnsi="Garamond"/>
          <w:sz w:val="22"/>
          <w:szCs w:val="22"/>
        </w:rPr>
      </w:pPr>
      <w:r>
        <w:rPr>
          <w:rFonts w:ascii="Garamond" w:hAnsi="Garamond"/>
          <w:sz w:val="22"/>
          <w:szCs w:val="22"/>
        </w:rPr>
        <w:t xml:space="preserve">In the wake of the COVID-19 pandemic’s effect on hospital ICU resource (especially ventilator) availability, influential bioethicists, lawyers, and professional organisations are currently defending pandemic rationing guidelines </w:t>
      </w:r>
      <w:r w:rsidR="00ED4C63">
        <w:rPr>
          <w:rFonts w:ascii="Garamond" w:hAnsi="Garamond"/>
          <w:sz w:val="22"/>
          <w:szCs w:val="22"/>
        </w:rPr>
        <w:t xml:space="preserve">on the basis of ‘capacity to benefit quickly’ </w:t>
      </w:r>
      <w:r>
        <w:rPr>
          <w:rFonts w:ascii="Garamond" w:hAnsi="Garamond"/>
          <w:sz w:val="22"/>
          <w:szCs w:val="22"/>
        </w:rPr>
        <w:t xml:space="preserve">that will predictably deny acute care to disabled people more often than their abled counterparts. These proposals are wholly Utilitarian in their justification – if implemented correctly, they </w:t>
      </w:r>
      <w:r w:rsidR="005B7C47">
        <w:rPr>
          <w:rFonts w:ascii="Garamond" w:hAnsi="Garamond"/>
          <w:sz w:val="22"/>
          <w:szCs w:val="22"/>
        </w:rPr>
        <w:t>should</w:t>
      </w:r>
      <w:r>
        <w:rPr>
          <w:rFonts w:ascii="Garamond" w:hAnsi="Garamond"/>
          <w:sz w:val="22"/>
          <w:szCs w:val="22"/>
        </w:rPr>
        <w:t xml:space="preserve"> lead to fewer deaths </w:t>
      </w:r>
      <w:r w:rsidR="005B7C47">
        <w:rPr>
          <w:rFonts w:ascii="Garamond" w:hAnsi="Garamond"/>
          <w:sz w:val="22"/>
          <w:szCs w:val="22"/>
        </w:rPr>
        <w:t>overall</w:t>
      </w:r>
      <w:r>
        <w:rPr>
          <w:rFonts w:ascii="Garamond" w:hAnsi="Garamond"/>
          <w:sz w:val="22"/>
          <w:szCs w:val="22"/>
        </w:rPr>
        <w:t>, though proportionally more amongst individuals</w:t>
      </w:r>
      <w:r w:rsidR="00ED4C63">
        <w:rPr>
          <w:rFonts w:ascii="Garamond" w:hAnsi="Garamond"/>
          <w:sz w:val="22"/>
          <w:szCs w:val="22"/>
        </w:rPr>
        <w:t xml:space="preserve"> with (certain kinds of</w:t>
      </w:r>
      <w:r w:rsidR="003678D4">
        <w:rPr>
          <w:rFonts w:ascii="Garamond" w:hAnsi="Garamond"/>
          <w:sz w:val="22"/>
          <w:szCs w:val="22"/>
        </w:rPr>
        <w:t>)</w:t>
      </w:r>
      <w:r w:rsidR="00ED4C63">
        <w:rPr>
          <w:rFonts w:ascii="Garamond" w:hAnsi="Garamond"/>
          <w:sz w:val="22"/>
          <w:szCs w:val="22"/>
        </w:rPr>
        <w:t xml:space="preserve"> disabilities.</w:t>
      </w:r>
    </w:p>
    <w:p w14:paraId="15110DAE" w14:textId="29A0D144" w:rsidR="005B7C47" w:rsidRDefault="005B7C47" w:rsidP="00DA6815">
      <w:pPr>
        <w:spacing w:after="80" w:line="276" w:lineRule="auto"/>
        <w:rPr>
          <w:rFonts w:ascii="Garamond" w:hAnsi="Garamond"/>
          <w:sz w:val="22"/>
          <w:szCs w:val="22"/>
        </w:rPr>
      </w:pPr>
      <w:r>
        <w:rPr>
          <w:rFonts w:ascii="Garamond" w:hAnsi="Garamond"/>
          <w:sz w:val="22"/>
          <w:szCs w:val="22"/>
        </w:rPr>
        <w:t xml:space="preserve">I argue in this paper that these kinds of guidelines are ethically dubious at best, for reasons that are well-established in the philosophical </w:t>
      </w:r>
      <w:proofErr w:type="gramStart"/>
      <w:r>
        <w:rPr>
          <w:rFonts w:ascii="Garamond" w:hAnsi="Garamond"/>
          <w:sz w:val="22"/>
          <w:szCs w:val="22"/>
        </w:rPr>
        <w:t>bioethics</w:t>
      </w:r>
      <w:proofErr w:type="gramEnd"/>
      <w:r>
        <w:rPr>
          <w:rFonts w:ascii="Garamond" w:hAnsi="Garamond"/>
          <w:sz w:val="22"/>
          <w:szCs w:val="22"/>
        </w:rPr>
        <w:t xml:space="preserve"> literature. Methods of quickly determining capacity to benefit quickly that </w:t>
      </w:r>
      <w:r w:rsidRPr="005B7C47">
        <w:rPr>
          <w:rFonts w:ascii="Garamond" w:hAnsi="Garamond"/>
          <w:i/>
          <w:iCs/>
          <w:sz w:val="22"/>
          <w:szCs w:val="22"/>
        </w:rPr>
        <w:t>are not</w:t>
      </w:r>
      <w:r>
        <w:rPr>
          <w:rFonts w:ascii="Garamond" w:hAnsi="Garamond"/>
          <w:sz w:val="22"/>
          <w:szCs w:val="22"/>
        </w:rPr>
        <w:t xml:space="preserve"> directly discriminatory and </w:t>
      </w:r>
      <w:r w:rsidRPr="005B7C47">
        <w:rPr>
          <w:rFonts w:ascii="Garamond" w:hAnsi="Garamond"/>
          <w:i/>
          <w:iCs/>
          <w:sz w:val="22"/>
          <w:szCs w:val="22"/>
        </w:rPr>
        <w:t>are</w:t>
      </w:r>
      <w:r>
        <w:rPr>
          <w:rFonts w:ascii="Garamond" w:hAnsi="Garamond"/>
          <w:sz w:val="22"/>
          <w:szCs w:val="22"/>
        </w:rPr>
        <w:t xml:space="preserve"> possible to implement in the hectic context of acute pandemic care are hard to come by. It is much more likely in practice that judgments will be made that either explicitly or implicitly take certain kinds of disability to imply lack of capacity to benefit quickly, which is wrongfully discriminatory. Moreover, I argue that removing the Utilitarian blinkers that have overcome authors of many guidelines during this pandemic will allow us to see the true cost</w:t>
      </w:r>
      <w:r w:rsidR="00D53803">
        <w:rPr>
          <w:rFonts w:ascii="Garamond" w:hAnsi="Garamond"/>
          <w:sz w:val="22"/>
          <w:szCs w:val="22"/>
        </w:rPr>
        <w:t xml:space="preserve"> of casting our ethical net so narrowly.</w:t>
      </w:r>
    </w:p>
    <w:p w14:paraId="1988D4C7" w14:textId="77777777" w:rsidR="00963AD8" w:rsidRPr="00AD6058" w:rsidRDefault="00963AD8" w:rsidP="00DA6815">
      <w:pPr>
        <w:spacing w:after="80" w:line="276" w:lineRule="auto"/>
        <w:rPr>
          <w:rFonts w:ascii="Garamond" w:hAnsi="Garamond"/>
          <w:sz w:val="22"/>
          <w:szCs w:val="22"/>
        </w:rPr>
      </w:pPr>
    </w:p>
    <w:p w14:paraId="63030C07" w14:textId="0DD3309F" w:rsidR="0050327B" w:rsidRPr="005A2BA2" w:rsidRDefault="004D26E2" w:rsidP="00DA6815">
      <w:pPr>
        <w:spacing w:after="80" w:line="276" w:lineRule="auto"/>
        <w:rPr>
          <w:rFonts w:ascii="Garamond" w:hAnsi="Garamond"/>
          <w:b/>
          <w:bCs/>
        </w:rPr>
      </w:pPr>
      <w:r>
        <w:rPr>
          <w:rFonts w:ascii="Garamond" w:hAnsi="Garamond"/>
          <w:b/>
          <w:bCs/>
        </w:rPr>
        <w:t>Pandemic Ethics in the Age of COVID-19</w:t>
      </w:r>
    </w:p>
    <w:p w14:paraId="09359ABF" w14:textId="68CE88A2" w:rsidR="00963AD8" w:rsidRDefault="00E42027" w:rsidP="00DA6815">
      <w:pPr>
        <w:spacing w:after="80" w:line="276" w:lineRule="auto"/>
        <w:rPr>
          <w:rFonts w:ascii="Garamond" w:hAnsi="Garamond"/>
          <w:sz w:val="22"/>
          <w:szCs w:val="22"/>
        </w:rPr>
      </w:pPr>
      <w:r>
        <w:rPr>
          <w:rFonts w:ascii="Garamond" w:hAnsi="Garamond"/>
          <w:sz w:val="22"/>
          <w:szCs w:val="22"/>
        </w:rPr>
        <w:t>Bioethicists and lawyers reacting to the prospect of severe rationing of healthcare resources during the most acute periods of the COVID-19 pandemic, have converge</w:t>
      </w:r>
      <w:r w:rsidR="005B09E9">
        <w:rPr>
          <w:rFonts w:ascii="Garamond" w:hAnsi="Garamond"/>
          <w:sz w:val="22"/>
          <w:szCs w:val="22"/>
        </w:rPr>
        <w:t>d</w:t>
      </w:r>
      <w:r>
        <w:rPr>
          <w:rFonts w:ascii="Garamond" w:hAnsi="Garamond"/>
          <w:sz w:val="22"/>
          <w:szCs w:val="22"/>
        </w:rPr>
        <w:t xml:space="preserve"> on the view that decisions regarding who gets prioritised for </w:t>
      </w:r>
      <w:r w:rsidR="00C64F16">
        <w:rPr>
          <w:rFonts w:ascii="Garamond" w:hAnsi="Garamond"/>
          <w:sz w:val="22"/>
          <w:szCs w:val="22"/>
        </w:rPr>
        <w:t>intensive treatment (including ventilation)</w:t>
      </w:r>
      <w:r>
        <w:rPr>
          <w:rFonts w:ascii="Garamond" w:hAnsi="Garamond"/>
          <w:sz w:val="22"/>
          <w:szCs w:val="22"/>
        </w:rPr>
        <w:t xml:space="preserve"> must not be made on the basis of who is judged to have a better prospective quality of life after treatment </w:t>
      </w:r>
      <w:r w:rsidR="00E267FD">
        <w:rPr>
          <w:rFonts w:ascii="Garamond" w:hAnsi="Garamond"/>
          <w:sz w:val="22"/>
          <w:szCs w:val="22"/>
        </w:rPr>
        <w:t>[1, 2, 3]</w:t>
      </w:r>
      <w:r>
        <w:rPr>
          <w:rFonts w:ascii="Garamond" w:hAnsi="Garamond"/>
          <w:sz w:val="22"/>
          <w:szCs w:val="22"/>
        </w:rPr>
        <w:t xml:space="preserve">. Among the many </w:t>
      </w:r>
      <w:r w:rsidR="00FC1C55">
        <w:rPr>
          <w:rFonts w:ascii="Garamond" w:hAnsi="Garamond"/>
          <w:sz w:val="22"/>
          <w:szCs w:val="22"/>
        </w:rPr>
        <w:t xml:space="preserve">excellent </w:t>
      </w:r>
      <w:r>
        <w:rPr>
          <w:rFonts w:ascii="Garamond" w:hAnsi="Garamond"/>
          <w:sz w:val="22"/>
          <w:szCs w:val="22"/>
        </w:rPr>
        <w:t xml:space="preserve">reasons </w:t>
      </w:r>
      <w:r w:rsidR="00F23D71">
        <w:rPr>
          <w:rFonts w:ascii="Garamond" w:hAnsi="Garamond"/>
          <w:sz w:val="22"/>
          <w:szCs w:val="22"/>
        </w:rPr>
        <w:t>for not engaging in such practices is the raft of evidence that physicians making such decisions, especially when under immense emotional and temporal pressure, are</w:t>
      </w:r>
      <w:r w:rsidR="00FC1C55">
        <w:rPr>
          <w:rFonts w:ascii="Garamond" w:hAnsi="Garamond"/>
          <w:sz w:val="22"/>
          <w:szCs w:val="22"/>
        </w:rPr>
        <w:t xml:space="preserve"> both</w:t>
      </w:r>
      <w:r w:rsidR="00F23D71">
        <w:rPr>
          <w:rFonts w:ascii="Garamond" w:hAnsi="Garamond"/>
          <w:sz w:val="22"/>
          <w:szCs w:val="22"/>
        </w:rPr>
        <w:t xml:space="preserve"> explicitly and implicitly biased towards judging disabled people’s quality of life to be much lower than they actually report it to be </w:t>
      </w:r>
      <w:r w:rsidR="00E267FD">
        <w:rPr>
          <w:rFonts w:ascii="Garamond" w:hAnsi="Garamond"/>
          <w:sz w:val="22"/>
          <w:szCs w:val="22"/>
        </w:rPr>
        <w:t>[1, 4, 5, 6</w:t>
      </w:r>
      <w:r w:rsidR="006D0BD8">
        <w:rPr>
          <w:rFonts w:ascii="Garamond" w:hAnsi="Garamond"/>
          <w:sz w:val="22"/>
          <w:szCs w:val="22"/>
        </w:rPr>
        <w:t>, 7]</w:t>
      </w:r>
      <w:r w:rsidR="00FC1C55">
        <w:rPr>
          <w:rFonts w:ascii="Garamond" w:hAnsi="Garamond"/>
          <w:sz w:val="22"/>
          <w:szCs w:val="22"/>
        </w:rPr>
        <w:t>.</w:t>
      </w:r>
      <w:r w:rsidR="00C64F16">
        <w:rPr>
          <w:rFonts w:ascii="Garamond" w:hAnsi="Garamond"/>
          <w:sz w:val="22"/>
          <w:szCs w:val="22"/>
        </w:rPr>
        <w:t xml:space="preserve"> Thus, basing rationing decisions on these judgments leads to a disproportionately high number of disabled people </w:t>
      </w:r>
      <w:r w:rsidR="005C6613">
        <w:rPr>
          <w:rFonts w:ascii="Garamond" w:hAnsi="Garamond"/>
          <w:sz w:val="22"/>
          <w:szCs w:val="22"/>
        </w:rPr>
        <w:t xml:space="preserve">being </w:t>
      </w:r>
      <w:r w:rsidR="00C64F16">
        <w:rPr>
          <w:rFonts w:ascii="Garamond" w:hAnsi="Garamond"/>
          <w:sz w:val="22"/>
          <w:szCs w:val="22"/>
        </w:rPr>
        <w:t>denied treatment</w:t>
      </w:r>
      <w:r w:rsidR="005C6613">
        <w:rPr>
          <w:rFonts w:ascii="Garamond" w:hAnsi="Garamond"/>
          <w:sz w:val="22"/>
          <w:szCs w:val="22"/>
        </w:rPr>
        <w:t>, on grounds that</w:t>
      </w:r>
      <w:r w:rsidR="00484ADF">
        <w:rPr>
          <w:rFonts w:ascii="Garamond" w:hAnsi="Garamond"/>
          <w:sz w:val="22"/>
          <w:szCs w:val="22"/>
        </w:rPr>
        <w:t>, importantly,</w:t>
      </w:r>
      <w:r w:rsidR="005C6613">
        <w:rPr>
          <w:rFonts w:ascii="Garamond" w:hAnsi="Garamond"/>
          <w:sz w:val="22"/>
          <w:szCs w:val="22"/>
        </w:rPr>
        <w:t xml:space="preserve"> are spurious even by their own lights (since they are based on grossly inaccurate quality of life assessments).</w:t>
      </w:r>
      <w:r w:rsidR="00AD6058">
        <w:rPr>
          <w:rFonts w:ascii="Garamond" w:hAnsi="Garamond"/>
          <w:sz w:val="22"/>
          <w:szCs w:val="22"/>
        </w:rPr>
        <w:t xml:space="preserve"> </w:t>
      </w:r>
    </w:p>
    <w:p w14:paraId="3F33F75A" w14:textId="2C447CB0" w:rsidR="007104FE" w:rsidRDefault="00AD6058" w:rsidP="00DA6815">
      <w:pPr>
        <w:spacing w:after="80" w:line="276" w:lineRule="auto"/>
        <w:rPr>
          <w:rFonts w:ascii="Garamond" w:hAnsi="Garamond"/>
          <w:sz w:val="22"/>
          <w:szCs w:val="22"/>
        </w:rPr>
      </w:pPr>
      <w:r>
        <w:rPr>
          <w:rFonts w:ascii="Garamond" w:hAnsi="Garamond"/>
          <w:sz w:val="22"/>
          <w:szCs w:val="22"/>
        </w:rPr>
        <w:t>Similar</w:t>
      </w:r>
      <w:r w:rsidR="00963AD8">
        <w:rPr>
          <w:rFonts w:ascii="Garamond" w:hAnsi="Garamond"/>
          <w:sz w:val="22"/>
          <w:szCs w:val="22"/>
        </w:rPr>
        <w:t xml:space="preserve"> </w:t>
      </w:r>
      <w:r>
        <w:rPr>
          <w:rFonts w:ascii="Garamond" w:hAnsi="Garamond"/>
          <w:sz w:val="22"/>
          <w:szCs w:val="22"/>
        </w:rPr>
        <w:t xml:space="preserve">consensus of unacceptability has existed for a </w:t>
      </w:r>
      <w:r w:rsidR="00484ADF">
        <w:rPr>
          <w:rFonts w:ascii="Garamond" w:hAnsi="Garamond"/>
          <w:sz w:val="22"/>
          <w:szCs w:val="22"/>
        </w:rPr>
        <w:t>while</w:t>
      </w:r>
      <w:r>
        <w:rPr>
          <w:rFonts w:ascii="Garamond" w:hAnsi="Garamond"/>
          <w:sz w:val="22"/>
          <w:szCs w:val="22"/>
        </w:rPr>
        <w:t xml:space="preserve"> regarding policies that deny care</w:t>
      </w:r>
      <w:r w:rsidR="00484ADF">
        <w:rPr>
          <w:rFonts w:ascii="Garamond" w:hAnsi="Garamond"/>
          <w:sz w:val="22"/>
          <w:szCs w:val="22"/>
        </w:rPr>
        <w:t xml:space="preserve"> or any other service</w:t>
      </w:r>
      <w:r>
        <w:rPr>
          <w:rFonts w:ascii="Garamond" w:hAnsi="Garamond"/>
          <w:sz w:val="22"/>
          <w:szCs w:val="22"/>
        </w:rPr>
        <w:t xml:space="preserve"> </w:t>
      </w:r>
      <w:r w:rsidRPr="00015F85">
        <w:rPr>
          <w:rFonts w:ascii="Garamond" w:hAnsi="Garamond"/>
          <w:i/>
          <w:iCs/>
          <w:sz w:val="22"/>
          <w:szCs w:val="22"/>
        </w:rPr>
        <w:t>explicitly</w:t>
      </w:r>
      <w:r>
        <w:rPr>
          <w:rFonts w:ascii="Garamond" w:hAnsi="Garamond"/>
          <w:sz w:val="22"/>
          <w:szCs w:val="22"/>
        </w:rPr>
        <w:t xml:space="preserve"> on the basis of disability-status</w:t>
      </w:r>
      <w:r w:rsidR="00484ADF">
        <w:rPr>
          <w:rFonts w:ascii="Garamond" w:hAnsi="Garamond"/>
          <w:sz w:val="22"/>
          <w:szCs w:val="22"/>
        </w:rPr>
        <w:t xml:space="preserve">, hence the </w:t>
      </w:r>
      <w:r w:rsidR="0006261A">
        <w:rPr>
          <w:rFonts w:ascii="Garamond" w:hAnsi="Garamond"/>
          <w:sz w:val="22"/>
          <w:szCs w:val="22"/>
        </w:rPr>
        <w:t xml:space="preserve">success of the </w:t>
      </w:r>
      <w:r w:rsidR="00484ADF">
        <w:rPr>
          <w:rFonts w:ascii="Garamond" w:hAnsi="Garamond"/>
          <w:sz w:val="22"/>
          <w:szCs w:val="22"/>
        </w:rPr>
        <w:t>A</w:t>
      </w:r>
      <w:r w:rsidR="0006261A">
        <w:rPr>
          <w:rFonts w:ascii="Garamond" w:hAnsi="Garamond"/>
          <w:sz w:val="22"/>
          <w:szCs w:val="22"/>
        </w:rPr>
        <w:t xml:space="preserve">mericans with </w:t>
      </w:r>
      <w:r w:rsidR="00484ADF">
        <w:rPr>
          <w:rFonts w:ascii="Garamond" w:hAnsi="Garamond"/>
          <w:sz w:val="22"/>
          <w:szCs w:val="22"/>
        </w:rPr>
        <w:t>D</w:t>
      </w:r>
      <w:r w:rsidR="0006261A">
        <w:rPr>
          <w:rFonts w:ascii="Garamond" w:hAnsi="Garamond"/>
          <w:sz w:val="22"/>
          <w:szCs w:val="22"/>
        </w:rPr>
        <w:t xml:space="preserve">isabilities </w:t>
      </w:r>
      <w:r w:rsidR="00484ADF">
        <w:rPr>
          <w:rFonts w:ascii="Garamond" w:hAnsi="Garamond"/>
          <w:sz w:val="22"/>
          <w:szCs w:val="22"/>
        </w:rPr>
        <w:t>A</w:t>
      </w:r>
      <w:r w:rsidR="0006261A">
        <w:rPr>
          <w:rFonts w:ascii="Garamond" w:hAnsi="Garamond"/>
          <w:sz w:val="22"/>
          <w:szCs w:val="22"/>
        </w:rPr>
        <w:t>ct</w:t>
      </w:r>
      <w:r w:rsidR="00484ADF">
        <w:rPr>
          <w:rFonts w:ascii="Garamond" w:hAnsi="Garamond"/>
          <w:sz w:val="22"/>
          <w:szCs w:val="22"/>
        </w:rPr>
        <w:t xml:space="preserve"> </w:t>
      </w:r>
      <w:r w:rsidR="0006261A" w:rsidRPr="0006261A">
        <w:rPr>
          <w:rFonts w:ascii="Garamond" w:hAnsi="Garamond"/>
          <w:color w:val="000000" w:themeColor="text1"/>
          <w:sz w:val="22"/>
          <w:szCs w:val="22"/>
        </w:rPr>
        <w:t>1990</w:t>
      </w:r>
      <w:r w:rsidR="00484ADF">
        <w:rPr>
          <w:rFonts w:ascii="Garamond" w:hAnsi="Garamond"/>
          <w:sz w:val="22"/>
          <w:szCs w:val="22"/>
        </w:rPr>
        <w:t xml:space="preserve"> and inclusion of disability as a protected category in the UK’s Equality Act</w:t>
      </w:r>
      <w:r w:rsidR="0006261A">
        <w:rPr>
          <w:rFonts w:ascii="Garamond" w:hAnsi="Garamond"/>
          <w:sz w:val="22"/>
          <w:szCs w:val="22"/>
        </w:rPr>
        <w:t xml:space="preserve"> (among other pieces of legislation across the world)</w:t>
      </w:r>
      <w:r w:rsidR="00484ADF">
        <w:rPr>
          <w:rFonts w:ascii="Garamond" w:hAnsi="Garamond"/>
          <w:sz w:val="22"/>
          <w:szCs w:val="22"/>
        </w:rPr>
        <w:t>. T</w:t>
      </w:r>
      <w:r>
        <w:rPr>
          <w:rFonts w:ascii="Garamond" w:hAnsi="Garamond"/>
          <w:sz w:val="22"/>
          <w:szCs w:val="22"/>
        </w:rPr>
        <w:t xml:space="preserve">hat has not stopped healthcare authorities from trying to implement policies like this in both the UK and USA, many (but not all) of which have thankfully been </w:t>
      </w:r>
      <w:r w:rsidR="00484ADF">
        <w:rPr>
          <w:rFonts w:ascii="Garamond" w:hAnsi="Garamond"/>
          <w:sz w:val="22"/>
          <w:szCs w:val="22"/>
        </w:rPr>
        <w:t>ruled</w:t>
      </w:r>
      <w:r w:rsidR="00640DCF">
        <w:rPr>
          <w:rFonts w:ascii="Garamond" w:hAnsi="Garamond"/>
          <w:sz w:val="22"/>
          <w:szCs w:val="22"/>
        </w:rPr>
        <w:t xml:space="preserve"> illegal</w:t>
      </w:r>
      <w:r w:rsidR="00015F85">
        <w:rPr>
          <w:rFonts w:ascii="Garamond" w:hAnsi="Garamond"/>
          <w:sz w:val="22"/>
          <w:szCs w:val="22"/>
        </w:rPr>
        <w:t xml:space="preserve">. Examples include rationing </w:t>
      </w:r>
      <w:r>
        <w:rPr>
          <w:rFonts w:ascii="Garamond" w:hAnsi="Garamond"/>
          <w:sz w:val="22"/>
          <w:szCs w:val="22"/>
        </w:rPr>
        <w:t>guidelines</w:t>
      </w:r>
      <w:r w:rsidR="00015F85">
        <w:rPr>
          <w:rFonts w:ascii="Garamond" w:hAnsi="Garamond"/>
          <w:sz w:val="22"/>
          <w:szCs w:val="22"/>
        </w:rPr>
        <w:t xml:space="preserve"> regarding people with dementia, learning disabilities, spinal muscular atrophy, and more general disability-status</w:t>
      </w:r>
      <w:r>
        <w:rPr>
          <w:rFonts w:ascii="Garamond" w:hAnsi="Garamond"/>
          <w:sz w:val="22"/>
          <w:szCs w:val="22"/>
        </w:rPr>
        <w:t xml:space="preserve"> </w:t>
      </w:r>
      <w:r w:rsidR="00AF0112">
        <w:rPr>
          <w:rFonts w:ascii="Garamond" w:hAnsi="Garamond"/>
          <w:sz w:val="22"/>
          <w:szCs w:val="22"/>
        </w:rPr>
        <w:t xml:space="preserve">issued by </w:t>
      </w:r>
      <w:r>
        <w:rPr>
          <w:rFonts w:ascii="Garamond" w:hAnsi="Garamond"/>
          <w:sz w:val="22"/>
          <w:szCs w:val="22"/>
        </w:rPr>
        <w:t xml:space="preserve">the </w:t>
      </w:r>
      <w:r w:rsidR="00AF0112">
        <w:rPr>
          <w:rFonts w:ascii="Garamond" w:hAnsi="Garamond"/>
          <w:sz w:val="22"/>
          <w:szCs w:val="22"/>
        </w:rPr>
        <w:t>s</w:t>
      </w:r>
      <w:r>
        <w:rPr>
          <w:rFonts w:ascii="Garamond" w:hAnsi="Garamond"/>
          <w:sz w:val="22"/>
          <w:szCs w:val="22"/>
        </w:rPr>
        <w:t>tates of Alabama</w:t>
      </w:r>
      <w:r w:rsidR="00015F85">
        <w:rPr>
          <w:rFonts w:ascii="Garamond" w:hAnsi="Garamond"/>
          <w:sz w:val="22"/>
          <w:szCs w:val="22"/>
        </w:rPr>
        <w:t xml:space="preserve"> </w:t>
      </w:r>
      <w:r w:rsidR="006D0BD8">
        <w:rPr>
          <w:rFonts w:ascii="Garamond" w:hAnsi="Garamond"/>
          <w:sz w:val="22"/>
          <w:szCs w:val="22"/>
        </w:rPr>
        <w:t>[1]</w:t>
      </w:r>
      <w:r w:rsidR="00015F85">
        <w:rPr>
          <w:rFonts w:ascii="Garamond" w:hAnsi="Garamond"/>
          <w:sz w:val="22"/>
          <w:szCs w:val="22"/>
        </w:rPr>
        <w:t xml:space="preserve"> and Tennessee </w:t>
      </w:r>
      <w:r w:rsidR="006D0BD8">
        <w:rPr>
          <w:rFonts w:ascii="Garamond" w:hAnsi="Garamond"/>
          <w:sz w:val="22"/>
          <w:szCs w:val="22"/>
        </w:rPr>
        <w:t>[8]</w:t>
      </w:r>
      <w:r w:rsidR="00015F85">
        <w:rPr>
          <w:rFonts w:ascii="Garamond" w:hAnsi="Garamond"/>
          <w:sz w:val="22"/>
          <w:szCs w:val="22"/>
        </w:rPr>
        <w:t xml:space="preserve">, The University of Washington’s Medical </w:t>
      </w:r>
      <w:proofErr w:type="spellStart"/>
      <w:r w:rsidR="00015F85">
        <w:rPr>
          <w:rFonts w:ascii="Garamond" w:hAnsi="Garamond"/>
          <w:sz w:val="22"/>
          <w:szCs w:val="22"/>
        </w:rPr>
        <w:t>Center</w:t>
      </w:r>
      <w:proofErr w:type="spellEnd"/>
      <w:r w:rsidR="00015F85">
        <w:rPr>
          <w:rFonts w:ascii="Garamond" w:hAnsi="Garamond"/>
          <w:sz w:val="22"/>
          <w:szCs w:val="22"/>
        </w:rPr>
        <w:t xml:space="preserve"> </w:t>
      </w:r>
      <w:r w:rsidR="006D0BD8">
        <w:rPr>
          <w:rFonts w:ascii="Garamond" w:hAnsi="Garamond"/>
          <w:sz w:val="22"/>
          <w:szCs w:val="22"/>
        </w:rPr>
        <w:t>[9]</w:t>
      </w:r>
      <w:r w:rsidR="00015F85">
        <w:rPr>
          <w:rFonts w:ascii="Garamond" w:hAnsi="Garamond"/>
          <w:sz w:val="22"/>
          <w:szCs w:val="22"/>
        </w:rPr>
        <w:t>,</w:t>
      </w:r>
      <w:r w:rsidR="00AF0112">
        <w:rPr>
          <w:rFonts w:ascii="Garamond" w:hAnsi="Garamond"/>
          <w:sz w:val="22"/>
          <w:szCs w:val="22"/>
        </w:rPr>
        <w:t xml:space="preserve"> and</w:t>
      </w:r>
      <w:r w:rsidR="00015F85">
        <w:rPr>
          <w:rFonts w:ascii="Garamond" w:hAnsi="Garamond"/>
          <w:sz w:val="22"/>
          <w:szCs w:val="22"/>
        </w:rPr>
        <w:t xml:space="preserve"> </w:t>
      </w:r>
      <w:r w:rsidR="00AF0112">
        <w:rPr>
          <w:rFonts w:ascii="Garamond" w:hAnsi="Garamond"/>
          <w:sz w:val="22"/>
          <w:szCs w:val="22"/>
        </w:rPr>
        <w:t>NICE</w:t>
      </w:r>
      <w:r w:rsidR="006D0BD8">
        <w:rPr>
          <w:rFonts w:ascii="Garamond" w:hAnsi="Garamond"/>
          <w:sz w:val="22"/>
          <w:szCs w:val="22"/>
        </w:rPr>
        <w:t xml:space="preserve"> [10, 11]</w:t>
      </w:r>
      <w:r w:rsidR="00AF0112">
        <w:rPr>
          <w:rFonts w:ascii="Garamond" w:hAnsi="Garamond"/>
          <w:sz w:val="22"/>
          <w:szCs w:val="22"/>
        </w:rPr>
        <w:t xml:space="preserve">, as well as blanket DNACPR orders, </w:t>
      </w:r>
      <w:r w:rsidR="00B36A5D">
        <w:rPr>
          <w:rFonts w:ascii="Garamond" w:hAnsi="Garamond"/>
          <w:sz w:val="22"/>
          <w:szCs w:val="22"/>
        </w:rPr>
        <w:t xml:space="preserve">apparently </w:t>
      </w:r>
      <w:r w:rsidR="00AF0112">
        <w:rPr>
          <w:rFonts w:ascii="Garamond" w:hAnsi="Garamond"/>
          <w:sz w:val="22"/>
          <w:szCs w:val="22"/>
        </w:rPr>
        <w:t xml:space="preserve">without consultation, being handed out in several UK local authorities including Somerset, Derbyshire, and East Sussex </w:t>
      </w:r>
      <w:r w:rsidR="006D0BD8">
        <w:rPr>
          <w:rFonts w:ascii="Garamond" w:hAnsi="Garamond"/>
          <w:sz w:val="22"/>
          <w:szCs w:val="22"/>
        </w:rPr>
        <w:t>[11]</w:t>
      </w:r>
      <w:r w:rsidR="00AF0112">
        <w:rPr>
          <w:rFonts w:ascii="Garamond" w:hAnsi="Garamond"/>
          <w:sz w:val="22"/>
          <w:szCs w:val="22"/>
        </w:rPr>
        <w:t>.</w:t>
      </w:r>
    </w:p>
    <w:p w14:paraId="375D01FA" w14:textId="264392D5" w:rsidR="005C6613" w:rsidRDefault="005C6613" w:rsidP="00DA6815">
      <w:pPr>
        <w:spacing w:after="80" w:line="276" w:lineRule="auto"/>
        <w:rPr>
          <w:rFonts w:ascii="Garamond" w:hAnsi="Garamond"/>
          <w:color w:val="000000" w:themeColor="text1"/>
          <w:sz w:val="22"/>
          <w:szCs w:val="22"/>
        </w:rPr>
      </w:pPr>
      <w:r>
        <w:rPr>
          <w:rFonts w:ascii="Garamond" w:hAnsi="Garamond"/>
          <w:sz w:val="22"/>
          <w:szCs w:val="22"/>
        </w:rPr>
        <w:t xml:space="preserve">Many authors, however, are still determined to prioritise the intensive treatment of non-disabled people over (at least some) disabled people, </w:t>
      </w:r>
      <w:r w:rsidR="0006261A">
        <w:rPr>
          <w:rFonts w:ascii="Garamond" w:hAnsi="Garamond"/>
          <w:sz w:val="22"/>
          <w:szCs w:val="22"/>
        </w:rPr>
        <w:t xml:space="preserve">albeit indirectly and </w:t>
      </w:r>
      <w:r>
        <w:rPr>
          <w:rFonts w:ascii="Garamond" w:hAnsi="Garamond"/>
          <w:sz w:val="22"/>
          <w:szCs w:val="22"/>
        </w:rPr>
        <w:t xml:space="preserve">on grounds other than the anticipated </w:t>
      </w:r>
      <w:r w:rsidRPr="004D26E2">
        <w:rPr>
          <w:rFonts w:ascii="Garamond" w:hAnsi="Garamond"/>
          <w:i/>
          <w:iCs/>
          <w:sz w:val="22"/>
          <w:szCs w:val="22"/>
        </w:rPr>
        <w:t>quality</w:t>
      </w:r>
      <w:r>
        <w:rPr>
          <w:rFonts w:ascii="Garamond" w:hAnsi="Garamond"/>
          <w:sz w:val="22"/>
          <w:szCs w:val="22"/>
        </w:rPr>
        <w:t xml:space="preserve"> of their post-intervention lives.</w:t>
      </w:r>
      <w:r w:rsidR="00B46EFD">
        <w:rPr>
          <w:rFonts w:ascii="Garamond" w:hAnsi="Garamond"/>
          <w:sz w:val="22"/>
          <w:szCs w:val="22"/>
        </w:rPr>
        <w:t xml:space="preserve"> Such proposals sometimes wear this fact on their sleeves, though they </w:t>
      </w:r>
      <w:r w:rsidR="00B46EFD">
        <w:rPr>
          <w:rFonts w:ascii="Garamond" w:hAnsi="Garamond"/>
          <w:sz w:val="22"/>
          <w:szCs w:val="22"/>
        </w:rPr>
        <w:lastRenderedPageBreak/>
        <w:t xml:space="preserve">obviously do not think (or admit) that such prioritisation amounts to wrongful discrimination. Govind </w:t>
      </w:r>
      <w:r w:rsidR="00B46EFD" w:rsidRPr="00B46EFD">
        <w:rPr>
          <w:rFonts w:ascii="Garamond" w:hAnsi="Garamond"/>
          <w:color w:val="000000" w:themeColor="text1"/>
          <w:sz w:val="22"/>
          <w:szCs w:val="22"/>
        </w:rPr>
        <w:t xml:space="preserve">Persad, for instance, believes that under conditions of acute scarcity both relative </w:t>
      </w:r>
      <w:r w:rsidR="00B46EFD" w:rsidRPr="00B46EFD">
        <w:rPr>
          <w:rFonts w:ascii="Garamond" w:hAnsi="Garamond"/>
          <w:i/>
          <w:iCs/>
          <w:color w:val="000000" w:themeColor="text1"/>
          <w:sz w:val="22"/>
          <w:szCs w:val="22"/>
        </w:rPr>
        <w:t>probability</w:t>
      </w:r>
      <w:r w:rsidR="00B46EFD" w:rsidRPr="00B46EFD">
        <w:rPr>
          <w:rFonts w:ascii="Garamond" w:hAnsi="Garamond"/>
          <w:color w:val="000000" w:themeColor="text1"/>
          <w:sz w:val="22"/>
          <w:szCs w:val="22"/>
        </w:rPr>
        <w:t xml:space="preserve"> and </w:t>
      </w:r>
      <w:r w:rsidR="004D26E2">
        <w:rPr>
          <w:rFonts w:ascii="Garamond" w:hAnsi="Garamond"/>
          <w:i/>
          <w:iCs/>
          <w:color w:val="000000" w:themeColor="text1"/>
          <w:sz w:val="22"/>
          <w:szCs w:val="22"/>
        </w:rPr>
        <w:t>resource-</w:t>
      </w:r>
      <w:r w:rsidR="00B46EFD" w:rsidRPr="00B46EFD">
        <w:rPr>
          <w:rFonts w:ascii="Garamond" w:hAnsi="Garamond"/>
          <w:i/>
          <w:iCs/>
          <w:color w:val="000000" w:themeColor="text1"/>
          <w:sz w:val="22"/>
          <w:szCs w:val="22"/>
        </w:rPr>
        <w:t xml:space="preserve">cost </w:t>
      </w:r>
      <w:r w:rsidR="00B46EFD" w:rsidRPr="00B46EFD">
        <w:rPr>
          <w:rFonts w:ascii="Garamond" w:hAnsi="Garamond"/>
          <w:color w:val="000000" w:themeColor="text1"/>
          <w:sz w:val="22"/>
          <w:szCs w:val="22"/>
        </w:rPr>
        <w:t xml:space="preserve">of benefit are relevant considerations. If ventilation can be provided to only one individual, and </w:t>
      </w:r>
      <w:proofErr w:type="spellStart"/>
      <w:r w:rsidR="00B46EFD" w:rsidRPr="00B46EFD">
        <w:rPr>
          <w:rFonts w:ascii="Garamond" w:hAnsi="Garamond"/>
          <w:color w:val="000000" w:themeColor="text1"/>
          <w:sz w:val="22"/>
          <w:szCs w:val="22"/>
        </w:rPr>
        <w:t>i</w:t>
      </w:r>
      <w:proofErr w:type="spellEnd"/>
      <w:r w:rsidR="00B46EFD" w:rsidRPr="00B46EFD">
        <w:rPr>
          <w:rFonts w:ascii="Garamond" w:hAnsi="Garamond"/>
          <w:color w:val="000000" w:themeColor="text1"/>
          <w:sz w:val="22"/>
          <w:szCs w:val="22"/>
        </w:rPr>
        <w:t xml:space="preserve">) A is more likely to survive to discharge than B, or ii) A’s survival is likely to require fewer days </w:t>
      </w:r>
      <w:r w:rsidR="004D26E2">
        <w:rPr>
          <w:rFonts w:ascii="Garamond" w:hAnsi="Garamond"/>
          <w:color w:val="000000" w:themeColor="text1"/>
          <w:sz w:val="22"/>
          <w:szCs w:val="22"/>
        </w:rPr>
        <w:t>in an ICU bed</w:t>
      </w:r>
      <w:r w:rsidR="00B46EFD" w:rsidRPr="00B46EFD">
        <w:rPr>
          <w:rFonts w:ascii="Garamond" w:hAnsi="Garamond"/>
          <w:color w:val="000000" w:themeColor="text1"/>
          <w:sz w:val="22"/>
          <w:szCs w:val="22"/>
        </w:rPr>
        <w:t>, Persad’s proposal permits prioritising A over B, even if B has a significant chance of benefitting</w:t>
      </w:r>
      <w:r w:rsidR="00B46EFD">
        <w:rPr>
          <w:rFonts w:ascii="Garamond" w:hAnsi="Garamond"/>
          <w:color w:val="000000" w:themeColor="text1"/>
          <w:sz w:val="22"/>
          <w:szCs w:val="22"/>
        </w:rPr>
        <w:t xml:space="preserve"> </w:t>
      </w:r>
      <w:r w:rsidR="009915F1">
        <w:rPr>
          <w:rFonts w:ascii="Garamond" w:hAnsi="Garamond"/>
          <w:color w:val="000000" w:themeColor="text1"/>
          <w:sz w:val="22"/>
          <w:szCs w:val="22"/>
        </w:rPr>
        <w:t>[2]</w:t>
      </w:r>
      <w:r w:rsidR="00B46EFD" w:rsidRPr="00B46EFD">
        <w:rPr>
          <w:rFonts w:ascii="Garamond" w:hAnsi="Garamond"/>
          <w:color w:val="000000" w:themeColor="text1"/>
          <w:sz w:val="22"/>
          <w:szCs w:val="22"/>
        </w:rPr>
        <w:t>.</w:t>
      </w:r>
      <w:r w:rsidR="00B46EFD">
        <w:rPr>
          <w:rFonts w:ascii="Garamond" w:hAnsi="Garamond"/>
          <w:color w:val="000000" w:themeColor="text1"/>
          <w:sz w:val="22"/>
          <w:szCs w:val="22"/>
        </w:rPr>
        <w:t xml:space="preserve"> Persad makes this proposal, full</w:t>
      </w:r>
      <w:r w:rsidR="000A1060">
        <w:rPr>
          <w:rFonts w:ascii="Garamond" w:hAnsi="Garamond"/>
          <w:color w:val="000000" w:themeColor="text1"/>
          <w:sz w:val="22"/>
          <w:szCs w:val="22"/>
        </w:rPr>
        <w:t>y</w:t>
      </w:r>
      <w:r w:rsidR="00B46EFD">
        <w:rPr>
          <w:rFonts w:ascii="Garamond" w:hAnsi="Garamond"/>
          <w:color w:val="000000" w:themeColor="text1"/>
          <w:sz w:val="22"/>
          <w:szCs w:val="22"/>
        </w:rPr>
        <w:t xml:space="preserve"> aware of the fact that</w:t>
      </w:r>
      <w:r w:rsidR="008600AC">
        <w:rPr>
          <w:rFonts w:ascii="Garamond" w:hAnsi="Garamond"/>
          <w:color w:val="000000" w:themeColor="text1"/>
          <w:sz w:val="22"/>
          <w:szCs w:val="22"/>
        </w:rPr>
        <w:t xml:space="preserve"> some kinds of</w:t>
      </w:r>
      <w:r w:rsidR="00B46EFD">
        <w:rPr>
          <w:rFonts w:ascii="Garamond" w:hAnsi="Garamond"/>
          <w:color w:val="000000" w:themeColor="text1"/>
          <w:sz w:val="22"/>
          <w:szCs w:val="22"/>
        </w:rPr>
        <w:t xml:space="preserve"> </w:t>
      </w:r>
      <w:r w:rsidR="004D26E2">
        <w:rPr>
          <w:rFonts w:ascii="Garamond" w:hAnsi="Garamond"/>
          <w:color w:val="000000" w:themeColor="text1"/>
          <w:sz w:val="22"/>
          <w:szCs w:val="22"/>
        </w:rPr>
        <w:t xml:space="preserve">pre-existing disability </w:t>
      </w:r>
      <w:r w:rsidR="008600AC">
        <w:rPr>
          <w:rFonts w:ascii="Garamond" w:hAnsi="Garamond"/>
          <w:color w:val="000000" w:themeColor="text1"/>
          <w:sz w:val="22"/>
          <w:szCs w:val="22"/>
        </w:rPr>
        <w:t>are</w:t>
      </w:r>
      <w:r w:rsidR="00B46EFD">
        <w:rPr>
          <w:rFonts w:ascii="Garamond" w:hAnsi="Garamond"/>
          <w:color w:val="000000" w:themeColor="text1"/>
          <w:sz w:val="22"/>
          <w:szCs w:val="22"/>
        </w:rPr>
        <w:t xml:space="preserve"> common reason</w:t>
      </w:r>
      <w:r w:rsidR="008600AC">
        <w:rPr>
          <w:rFonts w:ascii="Garamond" w:hAnsi="Garamond"/>
          <w:color w:val="000000" w:themeColor="text1"/>
          <w:sz w:val="22"/>
          <w:szCs w:val="22"/>
        </w:rPr>
        <w:t>s</w:t>
      </w:r>
      <w:r w:rsidR="00B46EFD">
        <w:rPr>
          <w:rFonts w:ascii="Garamond" w:hAnsi="Garamond"/>
          <w:color w:val="000000" w:themeColor="text1"/>
          <w:sz w:val="22"/>
          <w:szCs w:val="22"/>
        </w:rPr>
        <w:t xml:space="preserve"> </w:t>
      </w:r>
      <w:r w:rsidR="000A1060">
        <w:rPr>
          <w:rFonts w:ascii="Garamond" w:hAnsi="Garamond"/>
          <w:color w:val="000000" w:themeColor="text1"/>
          <w:sz w:val="22"/>
          <w:szCs w:val="22"/>
        </w:rPr>
        <w:t>for lower survival odds or a longer stay in the ICU being required</w:t>
      </w:r>
      <w:r w:rsidR="004D26E2">
        <w:rPr>
          <w:rFonts w:ascii="Garamond" w:hAnsi="Garamond"/>
          <w:color w:val="000000" w:themeColor="text1"/>
          <w:sz w:val="22"/>
          <w:szCs w:val="22"/>
        </w:rPr>
        <w:t xml:space="preserve"> to secure benefit. The effect of such a proposal, just as with basing rationing decisions on quality of life assessments, is to deny disabled people scarce healthcare resources </w:t>
      </w:r>
      <w:r w:rsidR="008E5EB5">
        <w:rPr>
          <w:rFonts w:ascii="Garamond" w:hAnsi="Garamond"/>
          <w:color w:val="000000" w:themeColor="text1"/>
          <w:sz w:val="22"/>
          <w:szCs w:val="22"/>
        </w:rPr>
        <w:t>more</w:t>
      </w:r>
      <w:r w:rsidR="004D26E2">
        <w:rPr>
          <w:rFonts w:ascii="Garamond" w:hAnsi="Garamond"/>
          <w:color w:val="000000" w:themeColor="text1"/>
          <w:sz w:val="22"/>
          <w:szCs w:val="22"/>
        </w:rPr>
        <w:t xml:space="preserve"> often</w:t>
      </w:r>
      <w:r w:rsidR="008E5EB5">
        <w:rPr>
          <w:rFonts w:ascii="Garamond" w:hAnsi="Garamond"/>
          <w:color w:val="000000" w:themeColor="text1"/>
          <w:sz w:val="22"/>
          <w:szCs w:val="22"/>
        </w:rPr>
        <w:t xml:space="preserve"> than their abled counterparts</w:t>
      </w:r>
      <w:r w:rsidR="004D26E2">
        <w:rPr>
          <w:rFonts w:ascii="Garamond" w:hAnsi="Garamond"/>
          <w:color w:val="000000" w:themeColor="text1"/>
          <w:sz w:val="22"/>
          <w:szCs w:val="22"/>
        </w:rPr>
        <w:t>.</w:t>
      </w:r>
      <w:r w:rsidR="00B25364">
        <w:rPr>
          <w:rFonts w:ascii="Garamond" w:hAnsi="Garamond"/>
          <w:color w:val="000000" w:themeColor="text1"/>
          <w:sz w:val="22"/>
          <w:szCs w:val="22"/>
        </w:rPr>
        <w:t xml:space="preserve"> This is because an important minority of disabilities are </w:t>
      </w:r>
      <w:r w:rsidR="00B25364" w:rsidRPr="00B25364">
        <w:rPr>
          <w:rFonts w:ascii="Garamond" w:hAnsi="Garamond"/>
          <w:i/>
          <w:iCs/>
          <w:color w:val="000000" w:themeColor="text1"/>
          <w:sz w:val="22"/>
          <w:szCs w:val="22"/>
        </w:rPr>
        <w:t>prospect-altering</w:t>
      </w:r>
      <w:r w:rsidR="0006261A">
        <w:rPr>
          <w:rFonts w:ascii="Garamond" w:hAnsi="Garamond"/>
          <w:color w:val="000000" w:themeColor="text1"/>
          <w:sz w:val="22"/>
          <w:szCs w:val="22"/>
        </w:rPr>
        <w:t>;</w:t>
      </w:r>
      <w:r w:rsidR="00B25364">
        <w:rPr>
          <w:rFonts w:ascii="Garamond" w:hAnsi="Garamond"/>
          <w:color w:val="000000" w:themeColor="text1"/>
          <w:sz w:val="22"/>
          <w:szCs w:val="22"/>
        </w:rPr>
        <w:t xml:space="preserve"> they weaken someone’s capacity to benefit quickl</w:t>
      </w:r>
      <w:r w:rsidR="00725F4E">
        <w:rPr>
          <w:rFonts w:ascii="Garamond" w:hAnsi="Garamond"/>
          <w:color w:val="000000" w:themeColor="text1"/>
          <w:sz w:val="22"/>
          <w:szCs w:val="22"/>
        </w:rPr>
        <w:t>y</w:t>
      </w:r>
      <w:r w:rsidR="0006261A">
        <w:rPr>
          <w:rFonts w:ascii="Garamond" w:hAnsi="Garamond"/>
          <w:color w:val="000000" w:themeColor="text1"/>
          <w:sz w:val="22"/>
          <w:szCs w:val="22"/>
        </w:rPr>
        <w:t xml:space="preserve"> from acute care</w:t>
      </w:r>
      <w:r w:rsidR="00B25364">
        <w:rPr>
          <w:rFonts w:ascii="Garamond" w:hAnsi="Garamond"/>
          <w:color w:val="000000" w:themeColor="text1"/>
          <w:sz w:val="22"/>
          <w:szCs w:val="22"/>
        </w:rPr>
        <w:t>.</w:t>
      </w:r>
      <w:r w:rsidR="008E5EB5">
        <w:rPr>
          <w:rFonts w:ascii="Garamond" w:hAnsi="Garamond"/>
          <w:color w:val="000000" w:themeColor="text1"/>
          <w:sz w:val="22"/>
          <w:szCs w:val="22"/>
        </w:rPr>
        <w:t xml:space="preserve"> S</w:t>
      </w:r>
      <w:r w:rsidR="00A90304">
        <w:rPr>
          <w:rFonts w:ascii="Garamond" w:hAnsi="Garamond"/>
          <w:color w:val="000000" w:themeColor="text1"/>
          <w:sz w:val="22"/>
          <w:szCs w:val="22"/>
        </w:rPr>
        <w:t>imilar proposal</w:t>
      </w:r>
      <w:r w:rsidR="008E5EB5">
        <w:rPr>
          <w:rFonts w:ascii="Garamond" w:hAnsi="Garamond"/>
          <w:color w:val="000000" w:themeColor="text1"/>
          <w:sz w:val="22"/>
          <w:szCs w:val="22"/>
        </w:rPr>
        <w:t>s</w:t>
      </w:r>
      <w:r w:rsidR="00A90304">
        <w:rPr>
          <w:rFonts w:ascii="Garamond" w:hAnsi="Garamond"/>
          <w:color w:val="000000" w:themeColor="text1"/>
          <w:sz w:val="22"/>
          <w:szCs w:val="22"/>
        </w:rPr>
        <w:t xml:space="preserve"> </w:t>
      </w:r>
      <w:r w:rsidR="008E5EB5">
        <w:rPr>
          <w:rFonts w:ascii="Garamond" w:hAnsi="Garamond"/>
          <w:color w:val="000000" w:themeColor="text1"/>
          <w:sz w:val="22"/>
          <w:szCs w:val="22"/>
        </w:rPr>
        <w:t>are</w:t>
      </w:r>
      <w:r w:rsidR="00A90304">
        <w:rPr>
          <w:rFonts w:ascii="Garamond" w:hAnsi="Garamond"/>
          <w:color w:val="000000" w:themeColor="text1"/>
          <w:sz w:val="22"/>
          <w:szCs w:val="22"/>
        </w:rPr>
        <w:t xml:space="preserve"> found in Emanuel et al </w:t>
      </w:r>
      <w:r w:rsidR="009915F1">
        <w:rPr>
          <w:rFonts w:ascii="Garamond" w:hAnsi="Garamond"/>
          <w:color w:val="000000" w:themeColor="text1"/>
          <w:sz w:val="22"/>
          <w:szCs w:val="22"/>
        </w:rPr>
        <w:t>2020 [3]</w:t>
      </w:r>
      <w:r w:rsidR="008E5EB5">
        <w:rPr>
          <w:rFonts w:ascii="Garamond" w:hAnsi="Garamond"/>
          <w:color w:val="000000" w:themeColor="text1"/>
          <w:sz w:val="22"/>
          <w:szCs w:val="22"/>
        </w:rPr>
        <w:t xml:space="preserve">, and in the BMA’s own ethical guidance document </w:t>
      </w:r>
      <w:r w:rsidR="009915F1">
        <w:rPr>
          <w:rFonts w:ascii="Garamond" w:hAnsi="Garamond"/>
          <w:color w:val="000000" w:themeColor="text1"/>
          <w:sz w:val="22"/>
          <w:szCs w:val="22"/>
        </w:rPr>
        <w:t>[12]</w:t>
      </w:r>
      <w:r w:rsidR="00A90304">
        <w:rPr>
          <w:rFonts w:ascii="Garamond" w:hAnsi="Garamond"/>
          <w:color w:val="000000" w:themeColor="text1"/>
          <w:sz w:val="22"/>
          <w:szCs w:val="22"/>
        </w:rPr>
        <w:t>.</w:t>
      </w:r>
    </w:p>
    <w:p w14:paraId="5EAF44DC" w14:textId="228D01A4" w:rsidR="004D26E2" w:rsidRDefault="004D26E2" w:rsidP="00DA6815">
      <w:pPr>
        <w:spacing w:after="80" w:line="276" w:lineRule="auto"/>
        <w:rPr>
          <w:rFonts w:ascii="Garamond" w:hAnsi="Garamond"/>
          <w:color w:val="000000" w:themeColor="text1"/>
          <w:sz w:val="22"/>
          <w:szCs w:val="22"/>
        </w:rPr>
      </w:pPr>
      <w:r>
        <w:rPr>
          <w:rFonts w:ascii="Garamond" w:hAnsi="Garamond"/>
          <w:color w:val="000000" w:themeColor="text1"/>
          <w:sz w:val="22"/>
          <w:szCs w:val="22"/>
        </w:rPr>
        <w:t>The standard justification for these sorts of proposals</w:t>
      </w:r>
      <w:r w:rsidR="00DE0EDB">
        <w:rPr>
          <w:rFonts w:ascii="Garamond" w:hAnsi="Garamond"/>
          <w:color w:val="000000" w:themeColor="text1"/>
          <w:sz w:val="22"/>
          <w:szCs w:val="22"/>
        </w:rPr>
        <w:t xml:space="preserve"> </w:t>
      </w:r>
      <w:r>
        <w:rPr>
          <w:rFonts w:ascii="Garamond" w:hAnsi="Garamond"/>
          <w:color w:val="000000" w:themeColor="text1"/>
          <w:sz w:val="22"/>
          <w:szCs w:val="22"/>
        </w:rPr>
        <w:t xml:space="preserve">is that they </w:t>
      </w:r>
      <w:r w:rsidR="00723550">
        <w:rPr>
          <w:rFonts w:ascii="Garamond" w:hAnsi="Garamond"/>
          <w:color w:val="000000" w:themeColor="text1"/>
          <w:sz w:val="22"/>
          <w:szCs w:val="22"/>
        </w:rPr>
        <w:t>will</w:t>
      </w:r>
      <w:r>
        <w:rPr>
          <w:rFonts w:ascii="Garamond" w:hAnsi="Garamond"/>
          <w:color w:val="000000" w:themeColor="text1"/>
          <w:sz w:val="22"/>
          <w:szCs w:val="22"/>
        </w:rPr>
        <w:t xml:space="preserve"> save more lives </w:t>
      </w:r>
      <w:r w:rsidR="00FC103B">
        <w:rPr>
          <w:rFonts w:ascii="Garamond" w:hAnsi="Garamond"/>
          <w:color w:val="000000" w:themeColor="text1"/>
          <w:sz w:val="22"/>
          <w:szCs w:val="22"/>
        </w:rPr>
        <w:t xml:space="preserve">overall </w:t>
      </w:r>
      <w:r>
        <w:rPr>
          <w:rFonts w:ascii="Garamond" w:hAnsi="Garamond"/>
          <w:color w:val="000000" w:themeColor="text1"/>
          <w:sz w:val="22"/>
          <w:szCs w:val="22"/>
        </w:rPr>
        <w:t>than other ways of deciding who gets a certain resource</w:t>
      </w:r>
      <w:r w:rsidR="00017463">
        <w:rPr>
          <w:rStyle w:val="FootnoteReference"/>
          <w:rFonts w:ascii="Garamond" w:hAnsi="Garamond"/>
          <w:color w:val="000000" w:themeColor="text1"/>
          <w:sz w:val="22"/>
          <w:szCs w:val="22"/>
        </w:rPr>
        <w:footnoteReference w:id="1"/>
      </w:r>
      <w:r w:rsidR="00017463">
        <w:rPr>
          <w:rFonts w:ascii="Garamond" w:hAnsi="Garamond"/>
          <w:color w:val="000000" w:themeColor="text1"/>
          <w:sz w:val="22"/>
          <w:szCs w:val="22"/>
        </w:rPr>
        <w:t xml:space="preserve"> </w:t>
      </w:r>
      <w:r w:rsidR="009915F1">
        <w:rPr>
          <w:rFonts w:ascii="Garamond" w:hAnsi="Garamond"/>
          <w:color w:val="000000" w:themeColor="text1"/>
          <w:sz w:val="22"/>
          <w:szCs w:val="22"/>
        </w:rPr>
        <w:t>[2, 3, 12, 13]</w:t>
      </w:r>
      <w:r w:rsidR="00723550">
        <w:rPr>
          <w:rFonts w:ascii="Garamond" w:hAnsi="Garamond"/>
          <w:color w:val="000000" w:themeColor="text1"/>
          <w:sz w:val="22"/>
          <w:szCs w:val="22"/>
        </w:rPr>
        <w:t>. This is a probabilistic judgment, but basically accurate</w:t>
      </w:r>
      <w:r w:rsidR="00DF146D">
        <w:rPr>
          <w:rFonts w:ascii="Garamond" w:hAnsi="Garamond"/>
          <w:color w:val="000000" w:themeColor="text1"/>
          <w:sz w:val="22"/>
          <w:szCs w:val="22"/>
        </w:rPr>
        <w:t>. I</w:t>
      </w:r>
      <w:r w:rsidR="00723550">
        <w:rPr>
          <w:rFonts w:ascii="Garamond" w:hAnsi="Garamond"/>
          <w:color w:val="000000" w:themeColor="text1"/>
          <w:sz w:val="22"/>
          <w:szCs w:val="22"/>
        </w:rPr>
        <w:t>f life-saving treatment can only be provided</w:t>
      </w:r>
      <w:r w:rsidR="008600AC">
        <w:rPr>
          <w:rFonts w:ascii="Garamond" w:hAnsi="Garamond"/>
          <w:color w:val="000000" w:themeColor="text1"/>
          <w:sz w:val="22"/>
          <w:szCs w:val="22"/>
        </w:rPr>
        <w:t xml:space="preserve"> to a limited number of people, then offering it to those who have the best chance of </w:t>
      </w:r>
      <w:r w:rsidR="00DF146D">
        <w:rPr>
          <w:rFonts w:ascii="Garamond" w:hAnsi="Garamond"/>
          <w:color w:val="000000" w:themeColor="text1"/>
          <w:sz w:val="22"/>
          <w:szCs w:val="22"/>
        </w:rPr>
        <w:t>being stabilised quickly and surviving to discharge will</w:t>
      </w:r>
      <w:r w:rsidR="008600AC">
        <w:rPr>
          <w:rFonts w:ascii="Garamond" w:hAnsi="Garamond"/>
          <w:color w:val="000000" w:themeColor="text1"/>
          <w:sz w:val="22"/>
          <w:szCs w:val="22"/>
        </w:rPr>
        <w:t>, on average, maximise the number of lives saved</w:t>
      </w:r>
      <w:r w:rsidR="00DF146D">
        <w:rPr>
          <w:rFonts w:ascii="Garamond" w:hAnsi="Garamond"/>
          <w:color w:val="000000" w:themeColor="text1"/>
          <w:sz w:val="22"/>
          <w:szCs w:val="22"/>
        </w:rPr>
        <w:t>. This is because</w:t>
      </w:r>
      <w:r w:rsidR="00FC103B">
        <w:rPr>
          <w:rFonts w:ascii="Garamond" w:hAnsi="Garamond"/>
          <w:color w:val="000000" w:themeColor="text1"/>
          <w:sz w:val="22"/>
          <w:szCs w:val="22"/>
        </w:rPr>
        <w:t xml:space="preserve"> it ensures</w:t>
      </w:r>
      <w:r w:rsidR="00DF146D">
        <w:rPr>
          <w:rFonts w:ascii="Garamond" w:hAnsi="Garamond"/>
          <w:color w:val="000000" w:themeColor="text1"/>
          <w:sz w:val="22"/>
          <w:szCs w:val="22"/>
        </w:rPr>
        <w:t xml:space="preserve"> </w:t>
      </w:r>
      <w:proofErr w:type="spellStart"/>
      <w:r w:rsidR="00DF146D">
        <w:rPr>
          <w:rFonts w:ascii="Garamond" w:hAnsi="Garamond"/>
          <w:color w:val="000000" w:themeColor="text1"/>
          <w:sz w:val="22"/>
          <w:szCs w:val="22"/>
        </w:rPr>
        <w:t>i</w:t>
      </w:r>
      <w:proofErr w:type="spellEnd"/>
      <w:r w:rsidR="00DF146D">
        <w:rPr>
          <w:rFonts w:ascii="Garamond" w:hAnsi="Garamond"/>
          <w:color w:val="000000" w:themeColor="text1"/>
          <w:sz w:val="22"/>
          <w:szCs w:val="22"/>
        </w:rPr>
        <w:t>) that</w:t>
      </w:r>
      <w:r w:rsidR="00FC103B">
        <w:rPr>
          <w:rFonts w:ascii="Garamond" w:hAnsi="Garamond"/>
          <w:color w:val="000000" w:themeColor="text1"/>
          <w:sz w:val="22"/>
          <w:szCs w:val="22"/>
        </w:rPr>
        <w:t xml:space="preserve"> each</w:t>
      </w:r>
      <w:r w:rsidR="00DF146D">
        <w:rPr>
          <w:rFonts w:ascii="Garamond" w:hAnsi="Garamond"/>
          <w:color w:val="000000" w:themeColor="text1"/>
          <w:sz w:val="22"/>
          <w:szCs w:val="22"/>
        </w:rPr>
        <w:t xml:space="preserve"> use of </w:t>
      </w:r>
      <w:r w:rsidR="00FC103B">
        <w:rPr>
          <w:rFonts w:ascii="Garamond" w:hAnsi="Garamond"/>
          <w:color w:val="000000" w:themeColor="text1"/>
          <w:sz w:val="22"/>
          <w:szCs w:val="22"/>
        </w:rPr>
        <w:t>a</w:t>
      </w:r>
      <w:r w:rsidR="00DF146D">
        <w:rPr>
          <w:rFonts w:ascii="Garamond" w:hAnsi="Garamond"/>
          <w:color w:val="000000" w:themeColor="text1"/>
          <w:sz w:val="22"/>
          <w:szCs w:val="22"/>
        </w:rPr>
        <w:t xml:space="preserve"> scarce resource ha</w:t>
      </w:r>
      <w:r w:rsidR="00FC103B">
        <w:rPr>
          <w:rFonts w:ascii="Garamond" w:hAnsi="Garamond"/>
          <w:color w:val="000000" w:themeColor="text1"/>
          <w:sz w:val="22"/>
          <w:szCs w:val="22"/>
        </w:rPr>
        <w:t>s</w:t>
      </w:r>
      <w:r w:rsidR="00DF146D">
        <w:rPr>
          <w:rFonts w:ascii="Garamond" w:hAnsi="Garamond"/>
          <w:color w:val="000000" w:themeColor="text1"/>
          <w:sz w:val="22"/>
          <w:szCs w:val="22"/>
        </w:rPr>
        <w:t xml:space="preserve"> the highest possible </w:t>
      </w:r>
      <w:r w:rsidR="00FC103B">
        <w:rPr>
          <w:rFonts w:ascii="Garamond" w:hAnsi="Garamond"/>
          <w:color w:val="000000" w:themeColor="text1"/>
          <w:sz w:val="22"/>
          <w:szCs w:val="22"/>
        </w:rPr>
        <w:t xml:space="preserve">chance of </w:t>
      </w:r>
      <w:r w:rsidR="00DF146D">
        <w:rPr>
          <w:rFonts w:ascii="Garamond" w:hAnsi="Garamond"/>
          <w:color w:val="000000" w:themeColor="text1"/>
          <w:sz w:val="22"/>
          <w:szCs w:val="22"/>
        </w:rPr>
        <w:t>success and ii) that more people can make use of them</w:t>
      </w:r>
      <w:r w:rsidR="008600AC">
        <w:rPr>
          <w:rFonts w:ascii="Garamond" w:hAnsi="Garamond"/>
          <w:color w:val="000000" w:themeColor="text1"/>
          <w:sz w:val="22"/>
          <w:szCs w:val="22"/>
        </w:rPr>
        <w:t>.</w:t>
      </w:r>
    </w:p>
    <w:p w14:paraId="35D07B8B" w14:textId="73676F6C" w:rsidR="00D41222" w:rsidRDefault="008600AC" w:rsidP="00DA6815">
      <w:pPr>
        <w:spacing w:after="80" w:line="276" w:lineRule="auto"/>
        <w:rPr>
          <w:rFonts w:ascii="Garamond" w:hAnsi="Garamond"/>
          <w:color w:val="000000" w:themeColor="text1"/>
          <w:sz w:val="22"/>
          <w:szCs w:val="22"/>
        </w:rPr>
      </w:pPr>
      <w:r>
        <w:rPr>
          <w:rFonts w:ascii="Garamond" w:hAnsi="Garamond"/>
          <w:color w:val="000000" w:themeColor="text1"/>
          <w:sz w:val="22"/>
          <w:szCs w:val="22"/>
        </w:rPr>
        <w:t>Popular discourse would have it that this is the end of the matter. Implementing a policy that will maximise lives saved</w:t>
      </w:r>
      <w:r w:rsidR="00CD0EDB">
        <w:rPr>
          <w:rFonts w:ascii="Garamond" w:hAnsi="Garamond"/>
          <w:color w:val="000000" w:themeColor="text1"/>
          <w:sz w:val="22"/>
          <w:szCs w:val="22"/>
        </w:rPr>
        <w:t>, and is not directly discriminatory,</w:t>
      </w:r>
      <w:r>
        <w:rPr>
          <w:rFonts w:ascii="Garamond" w:hAnsi="Garamond"/>
          <w:color w:val="000000" w:themeColor="text1"/>
          <w:sz w:val="22"/>
          <w:szCs w:val="22"/>
        </w:rPr>
        <w:t xml:space="preserve"> is justified even if the remaining </w:t>
      </w:r>
      <w:r w:rsidR="00D41222">
        <w:rPr>
          <w:rFonts w:ascii="Garamond" w:hAnsi="Garamond"/>
          <w:color w:val="000000" w:themeColor="text1"/>
          <w:sz w:val="22"/>
          <w:szCs w:val="22"/>
        </w:rPr>
        <w:t>burden of morbidity and mortality</w:t>
      </w:r>
      <w:r>
        <w:rPr>
          <w:rFonts w:ascii="Garamond" w:hAnsi="Garamond"/>
          <w:color w:val="000000" w:themeColor="text1"/>
          <w:sz w:val="22"/>
          <w:szCs w:val="22"/>
        </w:rPr>
        <w:t xml:space="preserve"> will disproportionately </w:t>
      </w:r>
      <w:r w:rsidR="00D41222">
        <w:rPr>
          <w:rFonts w:ascii="Garamond" w:hAnsi="Garamond"/>
          <w:color w:val="000000" w:themeColor="text1"/>
          <w:sz w:val="22"/>
          <w:szCs w:val="22"/>
        </w:rPr>
        <w:t xml:space="preserve">fall on individuals with </w:t>
      </w:r>
      <w:r w:rsidR="00CD0EDB">
        <w:rPr>
          <w:rFonts w:ascii="Garamond" w:hAnsi="Garamond"/>
          <w:color w:val="000000" w:themeColor="text1"/>
          <w:sz w:val="22"/>
          <w:szCs w:val="22"/>
        </w:rPr>
        <w:t>prospect-altering</w:t>
      </w:r>
      <w:r w:rsidR="00D41222">
        <w:rPr>
          <w:rFonts w:ascii="Garamond" w:hAnsi="Garamond"/>
          <w:color w:val="000000" w:themeColor="text1"/>
          <w:sz w:val="22"/>
          <w:szCs w:val="22"/>
        </w:rPr>
        <w:t xml:space="preserve"> disabilities. But matters are significantly more </w:t>
      </w:r>
      <w:r w:rsidR="00EE2DBE">
        <w:rPr>
          <w:rFonts w:ascii="Garamond" w:hAnsi="Garamond"/>
          <w:color w:val="000000" w:themeColor="text1"/>
          <w:sz w:val="22"/>
          <w:szCs w:val="22"/>
        </w:rPr>
        <w:t>difficult</w:t>
      </w:r>
      <w:r w:rsidR="00D41222">
        <w:rPr>
          <w:rFonts w:ascii="Garamond" w:hAnsi="Garamond"/>
          <w:color w:val="000000" w:themeColor="text1"/>
          <w:sz w:val="22"/>
          <w:szCs w:val="22"/>
        </w:rPr>
        <w:t xml:space="preserve"> than this.</w:t>
      </w:r>
    </w:p>
    <w:p w14:paraId="3119E44B" w14:textId="4957D9ED" w:rsidR="00D41222" w:rsidRDefault="00D41222" w:rsidP="00DA6815">
      <w:pPr>
        <w:spacing w:after="80" w:line="276" w:lineRule="auto"/>
        <w:rPr>
          <w:rFonts w:ascii="Garamond" w:hAnsi="Garamond"/>
          <w:color w:val="000000" w:themeColor="text1"/>
          <w:sz w:val="22"/>
          <w:szCs w:val="22"/>
        </w:rPr>
      </w:pPr>
    </w:p>
    <w:p w14:paraId="4A503A48" w14:textId="30B4E358" w:rsidR="00D41222" w:rsidRPr="00D41222" w:rsidRDefault="00D41222" w:rsidP="00DA6815">
      <w:pPr>
        <w:spacing w:after="80" w:line="276" w:lineRule="auto"/>
        <w:rPr>
          <w:rFonts w:ascii="Garamond" w:hAnsi="Garamond"/>
          <w:b/>
          <w:bCs/>
          <w:color w:val="000000" w:themeColor="text1"/>
        </w:rPr>
      </w:pPr>
      <w:r>
        <w:rPr>
          <w:rFonts w:ascii="Garamond" w:hAnsi="Garamond"/>
          <w:b/>
          <w:bCs/>
          <w:color w:val="000000" w:themeColor="text1"/>
        </w:rPr>
        <w:t>A Little Ethics is a Dangerous Thing</w:t>
      </w:r>
    </w:p>
    <w:p w14:paraId="716BAEE5" w14:textId="32955FE3" w:rsidR="00D1150A" w:rsidRPr="00F3487E" w:rsidRDefault="00EE2DBE" w:rsidP="00DA6815">
      <w:pPr>
        <w:spacing w:after="80" w:line="276" w:lineRule="auto"/>
        <w:rPr>
          <w:rFonts w:ascii="Garamond" w:hAnsi="Garamond"/>
          <w:color w:val="000000" w:themeColor="text1"/>
          <w:sz w:val="22"/>
          <w:szCs w:val="22"/>
        </w:rPr>
      </w:pPr>
      <w:r>
        <w:rPr>
          <w:rFonts w:ascii="Garamond" w:hAnsi="Garamond"/>
          <w:color w:val="000000" w:themeColor="text1"/>
          <w:sz w:val="22"/>
          <w:szCs w:val="22"/>
        </w:rPr>
        <w:t>Let us suppose, for a moment, that the goal of saving as many lives as possible is straightforwardly what we should aim at, and that it can be achieved</w:t>
      </w:r>
      <w:r w:rsidR="00F077BD">
        <w:rPr>
          <w:rFonts w:ascii="Garamond" w:hAnsi="Garamond"/>
          <w:color w:val="000000" w:themeColor="text1"/>
          <w:sz w:val="22"/>
          <w:szCs w:val="22"/>
        </w:rPr>
        <w:t xml:space="preserve"> (in part)</w:t>
      </w:r>
      <w:r>
        <w:rPr>
          <w:rFonts w:ascii="Garamond" w:hAnsi="Garamond"/>
          <w:color w:val="000000" w:themeColor="text1"/>
          <w:sz w:val="22"/>
          <w:szCs w:val="22"/>
        </w:rPr>
        <w:t xml:space="preserve"> by identifying and de-prioritising those with</w:t>
      </w:r>
      <w:r w:rsidR="00F077BD">
        <w:rPr>
          <w:rFonts w:ascii="Garamond" w:hAnsi="Garamond"/>
          <w:color w:val="000000" w:themeColor="text1"/>
          <w:sz w:val="22"/>
          <w:szCs w:val="22"/>
        </w:rPr>
        <w:t xml:space="preserve"> lower capacity to benefit quickly</w:t>
      </w:r>
      <w:r>
        <w:rPr>
          <w:rFonts w:ascii="Garamond" w:hAnsi="Garamond"/>
          <w:color w:val="000000" w:themeColor="text1"/>
          <w:sz w:val="22"/>
          <w:szCs w:val="22"/>
        </w:rPr>
        <w:t>. I</w:t>
      </w:r>
      <w:r w:rsidR="00D41222">
        <w:rPr>
          <w:rFonts w:ascii="Garamond" w:hAnsi="Garamond"/>
          <w:color w:val="000000" w:themeColor="text1"/>
          <w:sz w:val="22"/>
          <w:szCs w:val="22"/>
        </w:rPr>
        <w:t xml:space="preserve">t is </w:t>
      </w:r>
      <w:r>
        <w:rPr>
          <w:rFonts w:ascii="Garamond" w:hAnsi="Garamond"/>
          <w:color w:val="000000" w:themeColor="text1"/>
          <w:sz w:val="22"/>
          <w:szCs w:val="22"/>
        </w:rPr>
        <w:t xml:space="preserve">very </w:t>
      </w:r>
      <w:r w:rsidR="00D41222">
        <w:rPr>
          <w:rFonts w:ascii="Garamond" w:hAnsi="Garamond"/>
          <w:color w:val="000000" w:themeColor="text1"/>
          <w:sz w:val="22"/>
          <w:szCs w:val="22"/>
        </w:rPr>
        <w:t xml:space="preserve">unclear how </w:t>
      </w:r>
      <w:r>
        <w:rPr>
          <w:rFonts w:ascii="Garamond" w:hAnsi="Garamond"/>
          <w:color w:val="000000" w:themeColor="text1"/>
          <w:sz w:val="22"/>
          <w:szCs w:val="22"/>
        </w:rPr>
        <w:t>to effectively judge</w:t>
      </w:r>
      <w:r w:rsidR="00D41222">
        <w:rPr>
          <w:rFonts w:ascii="Garamond" w:hAnsi="Garamond"/>
          <w:color w:val="000000" w:themeColor="text1"/>
          <w:sz w:val="22"/>
          <w:szCs w:val="22"/>
        </w:rPr>
        <w:t xml:space="preserve"> capacity to benefit quickly in the hectic circumstances of pandemic intensive care</w:t>
      </w:r>
      <w:r>
        <w:rPr>
          <w:rFonts w:ascii="Garamond" w:hAnsi="Garamond"/>
          <w:color w:val="000000" w:themeColor="text1"/>
          <w:sz w:val="22"/>
          <w:szCs w:val="22"/>
        </w:rPr>
        <w:t xml:space="preserve"> without slipping into murky ethical waters</w:t>
      </w:r>
      <w:r w:rsidR="00D41222">
        <w:rPr>
          <w:rFonts w:ascii="Garamond" w:hAnsi="Garamond"/>
          <w:color w:val="000000" w:themeColor="text1"/>
          <w:sz w:val="22"/>
          <w:szCs w:val="22"/>
        </w:rPr>
        <w:t xml:space="preserve">. </w:t>
      </w:r>
      <w:r w:rsidR="00603C99">
        <w:rPr>
          <w:rFonts w:ascii="Garamond" w:hAnsi="Garamond"/>
          <w:color w:val="000000" w:themeColor="text1"/>
          <w:sz w:val="22"/>
          <w:szCs w:val="22"/>
        </w:rPr>
        <w:t>It is not</w:t>
      </w:r>
      <w:r w:rsidR="006D733C">
        <w:rPr>
          <w:rFonts w:ascii="Garamond" w:hAnsi="Garamond"/>
          <w:color w:val="000000" w:themeColor="text1"/>
          <w:sz w:val="22"/>
          <w:szCs w:val="22"/>
        </w:rPr>
        <w:t>, for instance,</w:t>
      </w:r>
      <w:r w:rsidR="00603C99">
        <w:rPr>
          <w:rFonts w:ascii="Garamond" w:hAnsi="Garamond"/>
          <w:color w:val="000000" w:themeColor="text1"/>
          <w:sz w:val="22"/>
          <w:szCs w:val="22"/>
        </w:rPr>
        <w:t xml:space="preserve"> </w:t>
      </w:r>
      <w:r w:rsidR="00D1150A">
        <w:rPr>
          <w:rFonts w:ascii="Garamond" w:hAnsi="Garamond"/>
          <w:color w:val="000000" w:themeColor="text1"/>
          <w:sz w:val="22"/>
          <w:szCs w:val="22"/>
        </w:rPr>
        <w:t>acceptable</w:t>
      </w:r>
      <w:r w:rsidR="00603C99">
        <w:rPr>
          <w:rFonts w:ascii="Garamond" w:hAnsi="Garamond"/>
          <w:color w:val="000000" w:themeColor="text1"/>
          <w:sz w:val="22"/>
          <w:szCs w:val="22"/>
        </w:rPr>
        <w:t xml:space="preserve"> to simply make blanket judgments about an individual’s survival probability, or the time they are likely to need to spend in ICU, on the basis of statistical generalisations about certain classes of p</w:t>
      </w:r>
      <w:r w:rsidR="006D733C">
        <w:rPr>
          <w:rFonts w:ascii="Garamond" w:hAnsi="Garamond"/>
          <w:color w:val="000000" w:themeColor="text1"/>
          <w:sz w:val="22"/>
          <w:szCs w:val="22"/>
        </w:rPr>
        <w:t>atient</w:t>
      </w:r>
      <w:r w:rsidR="00603C99">
        <w:rPr>
          <w:rFonts w:ascii="Garamond" w:hAnsi="Garamond"/>
          <w:color w:val="000000" w:themeColor="text1"/>
          <w:sz w:val="22"/>
          <w:szCs w:val="22"/>
        </w:rPr>
        <w:t xml:space="preserve"> (which might result in rationing decisions made on the basis</w:t>
      </w:r>
      <w:r w:rsidR="00D1150A">
        <w:rPr>
          <w:rFonts w:ascii="Garamond" w:hAnsi="Garamond"/>
          <w:color w:val="000000" w:themeColor="text1"/>
          <w:sz w:val="22"/>
          <w:szCs w:val="22"/>
        </w:rPr>
        <w:t>,</w:t>
      </w:r>
      <w:r w:rsidR="00603C99">
        <w:rPr>
          <w:rFonts w:ascii="Garamond" w:hAnsi="Garamond"/>
          <w:color w:val="000000" w:themeColor="text1"/>
          <w:sz w:val="22"/>
          <w:szCs w:val="22"/>
        </w:rPr>
        <w:t xml:space="preserve"> e.g.</w:t>
      </w:r>
      <w:r w:rsidR="00D1150A">
        <w:rPr>
          <w:rFonts w:ascii="Garamond" w:hAnsi="Garamond"/>
          <w:color w:val="000000" w:themeColor="text1"/>
          <w:sz w:val="22"/>
          <w:szCs w:val="22"/>
        </w:rPr>
        <w:t>, of</w:t>
      </w:r>
      <w:r w:rsidR="00603C99">
        <w:rPr>
          <w:rFonts w:ascii="Garamond" w:hAnsi="Garamond"/>
          <w:color w:val="000000" w:themeColor="text1"/>
          <w:sz w:val="22"/>
          <w:szCs w:val="22"/>
        </w:rPr>
        <w:t xml:space="preserve"> age, diabetes, </w:t>
      </w:r>
      <w:r w:rsidR="00D1150A">
        <w:rPr>
          <w:rFonts w:ascii="Garamond" w:hAnsi="Garamond"/>
          <w:color w:val="000000" w:themeColor="text1"/>
          <w:sz w:val="22"/>
          <w:szCs w:val="22"/>
        </w:rPr>
        <w:t xml:space="preserve">or </w:t>
      </w:r>
      <w:r w:rsidR="00603C99">
        <w:rPr>
          <w:rFonts w:ascii="Garamond" w:hAnsi="Garamond"/>
          <w:color w:val="000000" w:themeColor="text1"/>
          <w:sz w:val="22"/>
          <w:szCs w:val="22"/>
        </w:rPr>
        <w:t>severe asthma)</w:t>
      </w:r>
      <w:r w:rsidR="00D41222">
        <w:rPr>
          <w:rFonts w:ascii="Garamond" w:hAnsi="Garamond"/>
          <w:color w:val="000000" w:themeColor="text1"/>
          <w:sz w:val="22"/>
          <w:szCs w:val="22"/>
        </w:rPr>
        <w:t>.</w:t>
      </w:r>
      <w:r w:rsidR="00603C99">
        <w:rPr>
          <w:rFonts w:ascii="Garamond" w:hAnsi="Garamond"/>
          <w:color w:val="000000" w:themeColor="text1"/>
          <w:sz w:val="22"/>
          <w:szCs w:val="22"/>
        </w:rPr>
        <w:t xml:space="preserve"> One reason is that it </w:t>
      </w:r>
      <w:r w:rsidR="00D1150A">
        <w:rPr>
          <w:rFonts w:ascii="Garamond" w:hAnsi="Garamond"/>
          <w:color w:val="000000" w:themeColor="text1"/>
          <w:sz w:val="22"/>
          <w:szCs w:val="22"/>
        </w:rPr>
        <w:t xml:space="preserve">is </w:t>
      </w:r>
      <w:r w:rsidR="001E3ED4">
        <w:rPr>
          <w:rFonts w:ascii="Garamond" w:hAnsi="Garamond"/>
          <w:color w:val="000000" w:themeColor="text1"/>
          <w:sz w:val="22"/>
          <w:szCs w:val="22"/>
        </w:rPr>
        <w:t>patently a</w:t>
      </w:r>
      <w:r w:rsidR="00D1150A">
        <w:rPr>
          <w:rFonts w:ascii="Garamond" w:hAnsi="Garamond"/>
          <w:color w:val="000000" w:themeColor="text1"/>
          <w:sz w:val="22"/>
          <w:szCs w:val="22"/>
        </w:rPr>
        <w:t xml:space="preserve"> form of direct discrimination against certain disabled people</w:t>
      </w:r>
      <w:r w:rsidR="00603C99">
        <w:rPr>
          <w:rFonts w:ascii="Garamond" w:hAnsi="Garamond"/>
          <w:color w:val="000000" w:themeColor="text1"/>
          <w:sz w:val="22"/>
          <w:szCs w:val="22"/>
        </w:rPr>
        <w:t xml:space="preserve">. </w:t>
      </w:r>
      <w:r w:rsidR="00D1150A">
        <w:rPr>
          <w:rFonts w:ascii="Garamond" w:hAnsi="Garamond"/>
          <w:color w:val="000000" w:themeColor="text1"/>
          <w:sz w:val="22"/>
          <w:szCs w:val="22"/>
        </w:rPr>
        <w:t>Another</w:t>
      </w:r>
      <w:r w:rsidR="00603C99">
        <w:rPr>
          <w:rFonts w:ascii="Garamond" w:hAnsi="Garamond"/>
          <w:color w:val="000000" w:themeColor="text1"/>
          <w:sz w:val="22"/>
          <w:szCs w:val="22"/>
        </w:rPr>
        <w:t xml:space="preserve"> </w:t>
      </w:r>
      <w:r w:rsidR="00D1150A">
        <w:rPr>
          <w:rFonts w:ascii="Garamond" w:hAnsi="Garamond"/>
          <w:color w:val="000000" w:themeColor="text1"/>
          <w:sz w:val="22"/>
          <w:szCs w:val="22"/>
        </w:rPr>
        <w:t xml:space="preserve">is that it </w:t>
      </w:r>
      <w:r w:rsidR="00D1150A" w:rsidRPr="00F3487E">
        <w:rPr>
          <w:rFonts w:ascii="Garamond" w:hAnsi="Garamond"/>
          <w:color w:val="000000" w:themeColor="text1"/>
          <w:sz w:val="22"/>
          <w:szCs w:val="22"/>
        </w:rPr>
        <w:t>d</w:t>
      </w:r>
      <w:r w:rsidR="00603C99" w:rsidRPr="00F3487E">
        <w:rPr>
          <w:rFonts w:ascii="Garamond" w:hAnsi="Garamond"/>
          <w:color w:val="000000" w:themeColor="text1"/>
          <w:sz w:val="22"/>
          <w:szCs w:val="22"/>
        </w:rPr>
        <w:t xml:space="preserve">oesn’t guarantee that you will </w:t>
      </w:r>
      <w:r w:rsidR="00603C99" w:rsidRPr="00F3487E">
        <w:rPr>
          <w:rFonts w:ascii="Garamond" w:hAnsi="Garamond"/>
          <w:i/>
          <w:iCs/>
          <w:color w:val="000000" w:themeColor="text1"/>
          <w:sz w:val="22"/>
          <w:szCs w:val="22"/>
        </w:rPr>
        <w:t>actually</w:t>
      </w:r>
      <w:r w:rsidR="00603C99" w:rsidRPr="00F3487E">
        <w:rPr>
          <w:rFonts w:ascii="Garamond" w:hAnsi="Garamond"/>
          <w:color w:val="000000" w:themeColor="text1"/>
          <w:sz w:val="22"/>
          <w:szCs w:val="22"/>
        </w:rPr>
        <w:t xml:space="preserve"> </w:t>
      </w:r>
      <w:r w:rsidR="00D1150A" w:rsidRPr="00F3487E">
        <w:rPr>
          <w:rFonts w:ascii="Garamond" w:hAnsi="Garamond"/>
          <w:color w:val="000000" w:themeColor="text1"/>
          <w:sz w:val="22"/>
          <w:szCs w:val="22"/>
        </w:rPr>
        <w:t xml:space="preserve">reliably </w:t>
      </w:r>
      <w:r w:rsidR="00603C99" w:rsidRPr="00F3487E">
        <w:rPr>
          <w:rFonts w:ascii="Garamond" w:hAnsi="Garamond"/>
          <w:color w:val="000000" w:themeColor="text1"/>
          <w:sz w:val="22"/>
          <w:szCs w:val="22"/>
        </w:rPr>
        <w:t xml:space="preserve">pick out the people least likely to benefit quickly – </w:t>
      </w:r>
      <w:r w:rsidR="00D1150A" w:rsidRPr="00F3487E">
        <w:rPr>
          <w:rFonts w:ascii="Garamond" w:hAnsi="Garamond"/>
          <w:color w:val="000000" w:themeColor="text1"/>
          <w:sz w:val="22"/>
          <w:szCs w:val="22"/>
        </w:rPr>
        <w:t xml:space="preserve">you will identify some of them, while including others who are in the at-risk group but are not </w:t>
      </w:r>
      <w:r w:rsidR="00D1150A" w:rsidRPr="00F077BD">
        <w:rPr>
          <w:rFonts w:ascii="Garamond" w:hAnsi="Garamond"/>
          <w:i/>
          <w:iCs/>
          <w:color w:val="000000" w:themeColor="text1"/>
          <w:sz w:val="22"/>
          <w:szCs w:val="22"/>
        </w:rPr>
        <w:t>individually</w:t>
      </w:r>
      <w:r w:rsidR="00D1150A" w:rsidRPr="00F3487E">
        <w:rPr>
          <w:rFonts w:ascii="Garamond" w:hAnsi="Garamond"/>
          <w:color w:val="000000" w:themeColor="text1"/>
          <w:sz w:val="22"/>
          <w:szCs w:val="22"/>
        </w:rPr>
        <w:t xml:space="preserve"> at-risk, and missing others subject to more idiosyncratic risk. </w:t>
      </w:r>
    </w:p>
    <w:p w14:paraId="7EA23CFC" w14:textId="6E64940F" w:rsidR="002E43D6" w:rsidRPr="00F3487E" w:rsidRDefault="00603C99" w:rsidP="002E43D6">
      <w:pPr>
        <w:spacing w:after="80" w:line="276" w:lineRule="auto"/>
        <w:rPr>
          <w:rFonts w:ascii="Garamond" w:hAnsi="Garamond"/>
          <w:color w:val="000000" w:themeColor="text1"/>
          <w:sz w:val="22"/>
          <w:szCs w:val="22"/>
        </w:rPr>
      </w:pPr>
      <w:r w:rsidRPr="00F3487E">
        <w:rPr>
          <w:rFonts w:ascii="Garamond" w:hAnsi="Garamond"/>
          <w:color w:val="000000" w:themeColor="text1"/>
          <w:sz w:val="22"/>
          <w:szCs w:val="22"/>
        </w:rPr>
        <w:t>The lack of data</w:t>
      </w:r>
      <w:r w:rsidR="00D1150A" w:rsidRPr="00F3487E">
        <w:rPr>
          <w:rFonts w:ascii="Garamond" w:hAnsi="Garamond"/>
          <w:color w:val="000000" w:themeColor="text1"/>
          <w:sz w:val="22"/>
          <w:szCs w:val="22"/>
        </w:rPr>
        <w:t xml:space="preserve"> regarding </w:t>
      </w:r>
      <w:r w:rsidR="00D1150A" w:rsidRPr="00F3487E">
        <w:rPr>
          <w:rFonts w:ascii="Garamond" w:hAnsi="Garamond"/>
          <w:i/>
          <w:iCs/>
          <w:color w:val="000000" w:themeColor="text1"/>
          <w:sz w:val="22"/>
          <w:szCs w:val="22"/>
        </w:rPr>
        <w:t xml:space="preserve">how </w:t>
      </w:r>
      <w:r w:rsidR="00D1150A" w:rsidRPr="00F3487E">
        <w:rPr>
          <w:rFonts w:ascii="Garamond" w:hAnsi="Garamond"/>
          <w:color w:val="000000" w:themeColor="text1"/>
          <w:sz w:val="22"/>
          <w:szCs w:val="22"/>
        </w:rPr>
        <w:t xml:space="preserve">COVID-19 and certain co-morbidities interact to </w:t>
      </w:r>
      <w:r w:rsidR="00D1150A" w:rsidRPr="00841AE2">
        <w:rPr>
          <w:rFonts w:ascii="Garamond" w:hAnsi="Garamond"/>
          <w:color w:val="000000" w:themeColor="text1"/>
          <w:sz w:val="22"/>
          <w:szCs w:val="22"/>
        </w:rPr>
        <w:t xml:space="preserve">produce </w:t>
      </w:r>
      <w:r w:rsidR="00D1150A" w:rsidRPr="00F3487E">
        <w:rPr>
          <w:rFonts w:ascii="Garamond" w:hAnsi="Garamond"/>
          <w:color w:val="000000" w:themeColor="text1"/>
          <w:sz w:val="22"/>
          <w:szCs w:val="22"/>
        </w:rPr>
        <w:t>increased risk of mortality and morbidity</w:t>
      </w:r>
      <w:r w:rsidRPr="00F3487E">
        <w:rPr>
          <w:rFonts w:ascii="Garamond" w:hAnsi="Garamond"/>
          <w:color w:val="000000" w:themeColor="text1"/>
          <w:sz w:val="22"/>
          <w:szCs w:val="22"/>
        </w:rPr>
        <w:t xml:space="preserve"> makes it impossible to make</w:t>
      </w:r>
      <w:r w:rsidR="00D1150A" w:rsidRPr="00F3487E">
        <w:rPr>
          <w:rFonts w:ascii="Garamond" w:hAnsi="Garamond"/>
          <w:color w:val="000000" w:themeColor="text1"/>
          <w:sz w:val="22"/>
          <w:szCs w:val="22"/>
        </w:rPr>
        <w:t xml:space="preserve"> objective</w:t>
      </w:r>
      <w:r w:rsidRPr="00F3487E">
        <w:rPr>
          <w:rFonts w:ascii="Garamond" w:hAnsi="Garamond"/>
          <w:color w:val="000000" w:themeColor="text1"/>
          <w:sz w:val="22"/>
          <w:szCs w:val="22"/>
        </w:rPr>
        <w:t xml:space="preserve"> judgments</w:t>
      </w:r>
      <w:r w:rsidR="00D1150A" w:rsidRPr="00F3487E">
        <w:rPr>
          <w:rFonts w:ascii="Garamond" w:hAnsi="Garamond"/>
          <w:color w:val="000000" w:themeColor="text1"/>
          <w:sz w:val="22"/>
          <w:szCs w:val="22"/>
        </w:rPr>
        <w:t xml:space="preserve"> of actual risk</w:t>
      </w:r>
      <w:r w:rsidRPr="00F3487E">
        <w:rPr>
          <w:rFonts w:ascii="Garamond" w:hAnsi="Garamond"/>
          <w:color w:val="000000" w:themeColor="text1"/>
          <w:sz w:val="22"/>
          <w:szCs w:val="22"/>
        </w:rPr>
        <w:t xml:space="preserve"> </w:t>
      </w:r>
      <w:r w:rsidR="00FC0DCF">
        <w:rPr>
          <w:rFonts w:ascii="Garamond" w:hAnsi="Garamond"/>
          <w:color w:val="000000" w:themeColor="text1"/>
          <w:sz w:val="22"/>
          <w:szCs w:val="22"/>
        </w:rPr>
        <w:t xml:space="preserve">regarding individuals </w:t>
      </w:r>
      <w:r w:rsidRPr="00F3487E">
        <w:rPr>
          <w:rFonts w:ascii="Garamond" w:hAnsi="Garamond"/>
          <w:i/>
          <w:iCs/>
          <w:color w:val="000000" w:themeColor="text1"/>
          <w:sz w:val="22"/>
          <w:szCs w:val="22"/>
        </w:rPr>
        <w:t xml:space="preserve">within </w:t>
      </w:r>
      <w:r w:rsidRPr="00F3487E">
        <w:rPr>
          <w:rFonts w:ascii="Garamond" w:hAnsi="Garamond"/>
          <w:color w:val="000000" w:themeColor="text1"/>
          <w:sz w:val="22"/>
          <w:szCs w:val="22"/>
        </w:rPr>
        <w:t>statistical classes, since we don’t know what explains the</w:t>
      </w:r>
      <w:r w:rsidR="00D1150A" w:rsidRPr="00F3487E">
        <w:rPr>
          <w:rFonts w:ascii="Garamond" w:hAnsi="Garamond"/>
          <w:color w:val="000000" w:themeColor="text1"/>
          <w:sz w:val="22"/>
          <w:szCs w:val="22"/>
        </w:rPr>
        <w:t xml:space="preserve"> established</w:t>
      </w:r>
      <w:r w:rsidRPr="00F3487E">
        <w:rPr>
          <w:rFonts w:ascii="Garamond" w:hAnsi="Garamond"/>
          <w:color w:val="000000" w:themeColor="text1"/>
          <w:sz w:val="22"/>
          <w:szCs w:val="22"/>
        </w:rPr>
        <w:t xml:space="preserve"> correlations, and thus what might predict</w:t>
      </w:r>
      <w:r w:rsidR="00FC0DCF">
        <w:rPr>
          <w:rFonts w:ascii="Garamond" w:hAnsi="Garamond"/>
          <w:color w:val="000000" w:themeColor="text1"/>
          <w:sz w:val="22"/>
          <w:szCs w:val="22"/>
        </w:rPr>
        <w:t xml:space="preserve">, </w:t>
      </w:r>
      <w:r w:rsidR="00D1150A" w:rsidRPr="00F3487E">
        <w:rPr>
          <w:rFonts w:ascii="Garamond" w:hAnsi="Garamond"/>
          <w:color w:val="000000" w:themeColor="text1"/>
          <w:sz w:val="22"/>
          <w:szCs w:val="22"/>
        </w:rPr>
        <w:t>e.g.</w:t>
      </w:r>
      <w:r w:rsidR="00FC0DCF">
        <w:rPr>
          <w:rFonts w:ascii="Garamond" w:hAnsi="Garamond"/>
          <w:color w:val="000000" w:themeColor="text1"/>
          <w:sz w:val="22"/>
          <w:szCs w:val="22"/>
        </w:rPr>
        <w:t>,</w:t>
      </w:r>
      <w:r w:rsidRPr="00F3487E">
        <w:rPr>
          <w:rFonts w:ascii="Garamond" w:hAnsi="Garamond"/>
          <w:color w:val="000000" w:themeColor="text1"/>
          <w:sz w:val="22"/>
          <w:szCs w:val="22"/>
        </w:rPr>
        <w:t xml:space="preserve"> a</w:t>
      </w:r>
      <w:r w:rsidR="00D1150A" w:rsidRPr="00F3487E">
        <w:rPr>
          <w:rFonts w:ascii="Garamond" w:hAnsi="Garamond"/>
          <w:color w:val="000000" w:themeColor="text1"/>
          <w:sz w:val="22"/>
          <w:szCs w:val="22"/>
        </w:rPr>
        <w:t xml:space="preserve">n </w:t>
      </w:r>
      <w:r w:rsidR="00D1150A" w:rsidRPr="00F3487E">
        <w:rPr>
          <w:rFonts w:ascii="Garamond" w:hAnsi="Garamond"/>
          <w:i/>
          <w:iCs/>
          <w:color w:val="000000" w:themeColor="text1"/>
          <w:sz w:val="22"/>
          <w:szCs w:val="22"/>
        </w:rPr>
        <w:t xml:space="preserve">individual </w:t>
      </w:r>
      <w:r w:rsidRPr="00F3487E">
        <w:rPr>
          <w:rFonts w:ascii="Garamond" w:hAnsi="Garamond"/>
          <w:color w:val="000000" w:themeColor="text1"/>
          <w:sz w:val="22"/>
          <w:szCs w:val="22"/>
        </w:rPr>
        <w:t>diabetic person’s excess chance of mortality (or lack of it).</w:t>
      </w:r>
      <w:r w:rsidR="0067362E" w:rsidRPr="00F3487E">
        <w:rPr>
          <w:rFonts w:ascii="Garamond" w:hAnsi="Garamond"/>
          <w:color w:val="000000" w:themeColor="text1"/>
          <w:sz w:val="22"/>
          <w:szCs w:val="22"/>
        </w:rPr>
        <w:t xml:space="preserve">  While </w:t>
      </w:r>
      <w:r w:rsidR="00D1150A" w:rsidRPr="00F3487E">
        <w:rPr>
          <w:rFonts w:ascii="Garamond" w:hAnsi="Garamond"/>
          <w:color w:val="000000" w:themeColor="text1"/>
          <w:sz w:val="22"/>
          <w:szCs w:val="22"/>
        </w:rPr>
        <w:t xml:space="preserve">endorsing a system of rationing based on objective assessment of capacity to benefit quickly, the </w:t>
      </w:r>
      <w:r w:rsidRPr="00F3487E">
        <w:rPr>
          <w:rFonts w:ascii="Garamond" w:hAnsi="Garamond"/>
          <w:color w:val="000000" w:themeColor="text1"/>
          <w:sz w:val="22"/>
          <w:szCs w:val="22"/>
        </w:rPr>
        <w:t xml:space="preserve">BMA </w:t>
      </w:r>
      <w:r w:rsidR="00D1150A" w:rsidRPr="00F3487E">
        <w:rPr>
          <w:rFonts w:ascii="Garamond" w:hAnsi="Garamond"/>
          <w:color w:val="000000" w:themeColor="text1"/>
          <w:sz w:val="22"/>
          <w:szCs w:val="22"/>
        </w:rPr>
        <w:t xml:space="preserve">acknowledges that in the case of </w:t>
      </w:r>
      <w:r w:rsidRPr="00F3487E">
        <w:rPr>
          <w:rFonts w:ascii="Garamond" w:hAnsi="Garamond"/>
          <w:color w:val="000000" w:themeColor="text1"/>
          <w:sz w:val="22"/>
          <w:szCs w:val="22"/>
        </w:rPr>
        <w:t>age,</w:t>
      </w:r>
    </w:p>
    <w:p w14:paraId="68A47BD8" w14:textId="77777777" w:rsidR="002E43D6" w:rsidRDefault="002E43D6" w:rsidP="002E43D6">
      <w:pPr>
        <w:spacing w:after="80" w:line="276" w:lineRule="auto"/>
        <w:rPr>
          <w:rFonts w:ascii="Garamond" w:hAnsi="Garamond"/>
          <w:color w:val="FF0000"/>
          <w:sz w:val="22"/>
          <w:szCs w:val="22"/>
        </w:rPr>
      </w:pPr>
    </w:p>
    <w:p w14:paraId="5AA2D8EA" w14:textId="29C4F921" w:rsidR="002E43D6" w:rsidRPr="002E43D6" w:rsidRDefault="002E43D6" w:rsidP="002E43D6">
      <w:pPr>
        <w:spacing w:after="80" w:line="276" w:lineRule="auto"/>
        <w:ind w:left="720"/>
        <w:rPr>
          <w:rFonts w:ascii="Garamond" w:hAnsi="Garamond"/>
          <w:color w:val="000000" w:themeColor="text1"/>
          <w:sz w:val="22"/>
          <w:szCs w:val="22"/>
        </w:rPr>
      </w:pPr>
      <w:r w:rsidRPr="002E43D6">
        <w:rPr>
          <w:rFonts w:ascii="Garamond" w:hAnsi="Garamond"/>
          <w:color w:val="000000" w:themeColor="text1"/>
          <w:sz w:val="22"/>
          <w:szCs w:val="22"/>
        </w:rPr>
        <w:t xml:space="preserve">We know that current data about COVID-19 show a strong correlation between older age and mortality. Although work has not been done yet to establish whether this reflects an actual effect </w:t>
      </w:r>
      <w:r w:rsidRPr="002E43D6">
        <w:rPr>
          <w:rFonts w:ascii="Garamond" w:hAnsi="Garamond"/>
          <w:color w:val="000000" w:themeColor="text1"/>
          <w:sz w:val="22"/>
          <w:szCs w:val="22"/>
        </w:rPr>
        <w:lastRenderedPageBreak/>
        <w:t>of age, or simply a correlation between age and co-morbidities that will affect survival rates… (BMA 2020: 4)</w:t>
      </w:r>
      <w:r w:rsidR="009915F1">
        <w:rPr>
          <w:rFonts w:ascii="Garamond" w:hAnsi="Garamond"/>
          <w:color w:val="000000" w:themeColor="text1"/>
          <w:sz w:val="22"/>
          <w:szCs w:val="22"/>
        </w:rPr>
        <w:t xml:space="preserve"> [12]</w:t>
      </w:r>
    </w:p>
    <w:p w14:paraId="106FF4DA" w14:textId="32111B19" w:rsidR="002E43D6" w:rsidRDefault="002E43D6" w:rsidP="002E43D6">
      <w:pPr>
        <w:spacing w:after="80" w:line="276" w:lineRule="auto"/>
        <w:rPr>
          <w:rFonts w:ascii="Garamond" w:hAnsi="Garamond"/>
          <w:color w:val="000000" w:themeColor="text1"/>
        </w:rPr>
      </w:pPr>
    </w:p>
    <w:p w14:paraId="10A7077F" w14:textId="49B98FD1" w:rsidR="006D733C" w:rsidRPr="006D733C" w:rsidRDefault="0067362E" w:rsidP="002E43D6">
      <w:pPr>
        <w:spacing w:after="80" w:line="276" w:lineRule="auto"/>
        <w:rPr>
          <w:rFonts w:ascii="Garamond" w:hAnsi="Garamond"/>
          <w:color w:val="000000" w:themeColor="text1"/>
          <w:sz w:val="22"/>
          <w:szCs w:val="22"/>
        </w:rPr>
      </w:pPr>
      <w:r w:rsidRPr="006D733C">
        <w:rPr>
          <w:rFonts w:ascii="Garamond" w:hAnsi="Garamond"/>
          <w:color w:val="000000" w:themeColor="text1"/>
          <w:sz w:val="22"/>
          <w:szCs w:val="22"/>
        </w:rPr>
        <w:t>And hence that,</w:t>
      </w:r>
    </w:p>
    <w:p w14:paraId="6ECF1DDD" w14:textId="77777777" w:rsidR="006D733C" w:rsidRDefault="006D733C" w:rsidP="002E43D6">
      <w:pPr>
        <w:spacing w:after="80" w:line="276" w:lineRule="auto"/>
        <w:rPr>
          <w:rFonts w:ascii="Garamond" w:hAnsi="Garamond"/>
          <w:color w:val="FF0000"/>
          <w:sz w:val="22"/>
          <w:szCs w:val="22"/>
        </w:rPr>
      </w:pPr>
    </w:p>
    <w:p w14:paraId="3BF26EC2" w14:textId="59059300" w:rsidR="0067362E" w:rsidRPr="006D733C" w:rsidRDefault="006D733C" w:rsidP="006D733C">
      <w:pPr>
        <w:spacing w:after="80" w:line="276" w:lineRule="auto"/>
        <w:ind w:left="720"/>
        <w:rPr>
          <w:rFonts w:ascii="Garamond" w:hAnsi="Garamond"/>
          <w:color w:val="000000" w:themeColor="text1"/>
          <w:sz w:val="22"/>
          <w:szCs w:val="22"/>
        </w:rPr>
      </w:pPr>
      <w:r w:rsidRPr="006D733C">
        <w:rPr>
          <w:rFonts w:ascii="Garamond" w:hAnsi="Garamond"/>
          <w:color w:val="000000" w:themeColor="text1"/>
          <w:sz w:val="22"/>
          <w:szCs w:val="22"/>
        </w:rPr>
        <w:t xml:space="preserve">If they become necessary, these [rationing] decisions must not be solely based on age. Ethically, triage requires identification of </w:t>
      </w:r>
      <w:r w:rsidRPr="006D733C">
        <w:rPr>
          <w:rFonts w:ascii="Garamond" w:hAnsi="Garamond"/>
          <w:b/>
          <w:bCs/>
          <w:color w:val="000000" w:themeColor="text1"/>
          <w:sz w:val="22"/>
          <w:szCs w:val="22"/>
        </w:rPr>
        <w:t>clinically relevant facts</w:t>
      </w:r>
      <w:r w:rsidRPr="006D733C">
        <w:rPr>
          <w:rFonts w:ascii="Garamond" w:hAnsi="Garamond"/>
          <w:color w:val="000000" w:themeColor="text1"/>
          <w:sz w:val="22"/>
          <w:szCs w:val="22"/>
        </w:rPr>
        <w:t xml:space="preserve"> about </w:t>
      </w:r>
      <w:r w:rsidRPr="006D733C">
        <w:rPr>
          <w:rFonts w:ascii="Garamond" w:hAnsi="Garamond"/>
          <w:b/>
          <w:bCs/>
          <w:color w:val="000000" w:themeColor="text1"/>
          <w:sz w:val="22"/>
          <w:szCs w:val="22"/>
        </w:rPr>
        <w:t>individual patients</w:t>
      </w:r>
      <w:r w:rsidRPr="006D733C">
        <w:rPr>
          <w:rFonts w:ascii="Garamond" w:hAnsi="Garamond"/>
          <w:color w:val="000000" w:themeColor="text1"/>
          <w:sz w:val="22"/>
          <w:szCs w:val="22"/>
        </w:rPr>
        <w:t xml:space="preserve"> and </w:t>
      </w:r>
      <w:r w:rsidRPr="006D733C">
        <w:rPr>
          <w:rFonts w:ascii="Garamond" w:hAnsi="Garamond"/>
          <w:b/>
          <w:bCs/>
          <w:color w:val="000000" w:themeColor="text1"/>
          <w:sz w:val="22"/>
          <w:szCs w:val="22"/>
        </w:rPr>
        <w:t>their</w:t>
      </w:r>
      <w:r w:rsidRPr="006D733C">
        <w:rPr>
          <w:rFonts w:ascii="Garamond" w:hAnsi="Garamond"/>
          <w:color w:val="000000" w:themeColor="text1"/>
          <w:sz w:val="22"/>
          <w:szCs w:val="22"/>
        </w:rPr>
        <w:t xml:space="preserve"> likelihood of benefiting from available resources. (BMA 2020: 4, </w:t>
      </w:r>
      <w:r w:rsidRPr="006D733C">
        <w:rPr>
          <w:rFonts w:ascii="Garamond" w:hAnsi="Garamond"/>
          <w:b/>
          <w:bCs/>
          <w:color w:val="000000" w:themeColor="text1"/>
          <w:sz w:val="22"/>
          <w:szCs w:val="22"/>
        </w:rPr>
        <w:t>emphasis mine</w:t>
      </w:r>
      <w:r w:rsidRPr="006D733C">
        <w:rPr>
          <w:rFonts w:ascii="Garamond" w:hAnsi="Garamond"/>
          <w:color w:val="000000" w:themeColor="text1"/>
          <w:sz w:val="22"/>
          <w:szCs w:val="22"/>
        </w:rPr>
        <w:t>)</w:t>
      </w:r>
      <w:r w:rsidR="009915F1">
        <w:rPr>
          <w:rFonts w:ascii="Garamond" w:hAnsi="Garamond"/>
          <w:color w:val="000000" w:themeColor="text1"/>
          <w:sz w:val="22"/>
          <w:szCs w:val="22"/>
        </w:rPr>
        <w:t xml:space="preserve"> [12]</w:t>
      </w:r>
    </w:p>
    <w:p w14:paraId="5D19723A" w14:textId="77777777" w:rsidR="006D733C" w:rsidRDefault="006D733C" w:rsidP="002E43D6">
      <w:pPr>
        <w:spacing w:after="80" w:line="276" w:lineRule="auto"/>
        <w:rPr>
          <w:rFonts w:ascii="Garamond" w:hAnsi="Garamond"/>
          <w:color w:val="FF0000"/>
          <w:sz w:val="22"/>
          <w:szCs w:val="22"/>
        </w:rPr>
      </w:pPr>
    </w:p>
    <w:p w14:paraId="64D74647" w14:textId="503626E5" w:rsidR="00D1150A" w:rsidRPr="00FC0DCF" w:rsidRDefault="006D733C" w:rsidP="00DA6815">
      <w:pPr>
        <w:spacing w:after="80" w:line="276" w:lineRule="auto"/>
        <w:rPr>
          <w:rFonts w:ascii="Garamond" w:hAnsi="Garamond"/>
          <w:color w:val="000000" w:themeColor="text1"/>
          <w:sz w:val="22"/>
          <w:szCs w:val="22"/>
        </w:rPr>
      </w:pPr>
      <w:r w:rsidRPr="00F3487E">
        <w:rPr>
          <w:rFonts w:ascii="Garamond" w:hAnsi="Garamond"/>
          <w:color w:val="000000" w:themeColor="text1"/>
          <w:sz w:val="22"/>
          <w:szCs w:val="22"/>
        </w:rPr>
        <w:t>Note that this is written with the apparently explicit rationale of ruling out the kind of correlation-based decision-making I described above</w:t>
      </w:r>
      <w:r w:rsidR="00F3487E" w:rsidRPr="00F3487E">
        <w:rPr>
          <w:rFonts w:ascii="Garamond" w:hAnsi="Garamond"/>
          <w:color w:val="000000" w:themeColor="text1"/>
          <w:sz w:val="22"/>
          <w:szCs w:val="22"/>
        </w:rPr>
        <w:t xml:space="preserve">. </w:t>
      </w:r>
      <w:r w:rsidR="00134BB7">
        <w:rPr>
          <w:rFonts w:ascii="Garamond" w:hAnsi="Garamond"/>
          <w:color w:val="000000" w:themeColor="text1"/>
          <w:sz w:val="22"/>
          <w:szCs w:val="22"/>
        </w:rPr>
        <w:t>L</w:t>
      </w:r>
      <w:r w:rsidR="002E43D6" w:rsidRPr="00F3487E">
        <w:rPr>
          <w:rFonts w:ascii="Garamond" w:hAnsi="Garamond"/>
          <w:color w:val="000000" w:themeColor="text1"/>
          <w:sz w:val="22"/>
          <w:szCs w:val="22"/>
        </w:rPr>
        <w:t>ess well-</w:t>
      </w:r>
      <w:r w:rsidR="00F3487E" w:rsidRPr="00F3487E">
        <w:rPr>
          <w:rFonts w:ascii="Garamond" w:hAnsi="Garamond"/>
          <w:color w:val="000000" w:themeColor="text1"/>
          <w:sz w:val="22"/>
          <w:szCs w:val="22"/>
        </w:rPr>
        <w:t xml:space="preserve">understood </w:t>
      </w:r>
      <w:r w:rsidR="002E43D6" w:rsidRPr="00F3487E">
        <w:rPr>
          <w:rFonts w:ascii="Garamond" w:hAnsi="Garamond"/>
          <w:color w:val="000000" w:themeColor="text1"/>
          <w:sz w:val="22"/>
          <w:szCs w:val="22"/>
        </w:rPr>
        <w:t>correlations between factors such as diabetes</w:t>
      </w:r>
      <w:r w:rsidR="001E3ED4" w:rsidRPr="00F3487E">
        <w:rPr>
          <w:rFonts w:ascii="Garamond" w:hAnsi="Garamond"/>
          <w:color w:val="000000" w:themeColor="text1"/>
          <w:sz w:val="22"/>
          <w:szCs w:val="22"/>
        </w:rPr>
        <w:t xml:space="preserve"> and asthma undoubtedly suffer from similar uncertainties that preclude their ethical</w:t>
      </w:r>
      <w:r w:rsidRPr="00F3487E">
        <w:rPr>
          <w:rFonts w:ascii="Garamond" w:hAnsi="Garamond"/>
          <w:color w:val="000000" w:themeColor="text1"/>
          <w:sz w:val="22"/>
          <w:szCs w:val="22"/>
        </w:rPr>
        <w:t xml:space="preserve"> use in making assessments of capacity</w:t>
      </w:r>
      <w:r w:rsidR="00F3487E" w:rsidRPr="00F3487E">
        <w:rPr>
          <w:rFonts w:ascii="Garamond" w:hAnsi="Garamond"/>
          <w:color w:val="000000" w:themeColor="text1"/>
          <w:sz w:val="22"/>
          <w:szCs w:val="22"/>
        </w:rPr>
        <w:t xml:space="preserve"> to benefit quickly.</w:t>
      </w:r>
    </w:p>
    <w:p w14:paraId="7C204A27" w14:textId="68B03F5A" w:rsidR="00603C99" w:rsidRPr="00ED30F7" w:rsidRDefault="00841AE2" w:rsidP="00DA6815">
      <w:pPr>
        <w:spacing w:after="80" w:line="276" w:lineRule="auto"/>
        <w:rPr>
          <w:rFonts w:ascii="Garamond" w:hAnsi="Garamond"/>
          <w:color w:val="000000" w:themeColor="text1"/>
          <w:sz w:val="22"/>
          <w:szCs w:val="22"/>
        </w:rPr>
      </w:pPr>
      <w:r>
        <w:rPr>
          <w:rFonts w:ascii="Garamond" w:hAnsi="Garamond"/>
          <w:color w:val="000000" w:themeColor="text1"/>
          <w:sz w:val="22"/>
          <w:szCs w:val="22"/>
        </w:rPr>
        <w:t xml:space="preserve">There </w:t>
      </w:r>
      <w:r w:rsidR="00FC103B">
        <w:rPr>
          <w:rFonts w:ascii="Garamond" w:hAnsi="Garamond"/>
          <w:color w:val="000000" w:themeColor="text1"/>
          <w:sz w:val="22"/>
          <w:szCs w:val="22"/>
        </w:rPr>
        <w:t>are</w:t>
      </w:r>
      <w:r>
        <w:rPr>
          <w:rFonts w:ascii="Garamond" w:hAnsi="Garamond"/>
          <w:color w:val="000000" w:themeColor="text1"/>
          <w:sz w:val="22"/>
          <w:szCs w:val="22"/>
        </w:rPr>
        <w:t>, of course, more accurate ways to judge capacity to benefit quickly</w:t>
      </w:r>
      <w:r w:rsidR="00FC0DCF" w:rsidRPr="00ED30F7">
        <w:rPr>
          <w:rFonts w:ascii="Garamond" w:hAnsi="Garamond"/>
          <w:color w:val="000000" w:themeColor="text1"/>
          <w:sz w:val="22"/>
          <w:szCs w:val="22"/>
        </w:rPr>
        <w:t xml:space="preserve"> that </w:t>
      </w:r>
      <w:r w:rsidR="00134BB7" w:rsidRPr="00ED30F7">
        <w:rPr>
          <w:rFonts w:ascii="Garamond" w:hAnsi="Garamond"/>
          <w:color w:val="000000" w:themeColor="text1"/>
          <w:sz w:val="22"/>
          <w:szCs w:val="22"/>
        </w:rPr>
        <w:t>are</w:t>
      </w:r>
      <w:r w:rsidR="00FC0DCF" w:rsidRPr="00ED30F7">
        <w:rPr>
          <w:rFonts w:ascii="Garamond" w:hAnsi="Garamond"/>
          <w:color w:val="000000" w:themeColor="text1"/>
          <w:sz w:val="22"/>
          <w:szCs w:val="22"/>
        </w:rPr>
        <w:t xml:space="preserve"> (</w:t>
      </w:r>
      <w:r w:rsidR="00134BB7" w:rsidRPr="00ED30F7">
        <w:rPr>
          <w:rFonts w:ascii="Garamond" w:hAnsi="Garamond"/>
          <w:color w:val="000000" w:themeColor="text1"/>
          <w:sz w:val="22"/>
          <w:szCs w:val="22"/>
        </w:rPr>
        <w:t>directly,</w:t>
      </w:r>
      <w:r w:rsidR="00FC0DCF" w:rsidRPr="00ED30F7">
        <w:rPr>
          <w:rFonts w:ascii="Garamond" w:hAnsi="Garamond"/>
          <w:color w:val="000000" w:themeColor="text1"/>
          <w:sz w:val="22"/>
          <w:szCs w:val="22"/>
        </w:rPr>
        <w:t xml:space="preserve"> though not indirect</w:t>
      </w:r>
      <w:r w:rsidR="00134BB7" w:rsidRPr="00ED30F7">
        <w:rPr>
          <w:rFonts w:ascii="Garamond" w:hAnsi="Garamond"/>
          <w:color w:val="000000" w:themeColor="text1"/>
          <w:sz w:val="22"/>
          <w:szCs w:val="22"/>
        </w:rPr>
        <w:t>ly</w:t>
      </w:r>
      <w:r w:rsidR="00FC0DCF" w:rsidRPr="00ED30F7">
        <w:rPr>
          <w:rFonts w:ascii="Garamond" w:hAnsi="Garamond"/>
          <w:color w:val="000000" w:themeColor="text1"/>
          <w:sz w:val="22"/>
          <w:szCs w:val="22"/>
        </w:rPr>
        <w:t xml:space="preserve">) </w:t>
      </w:r>
      <w:proofErr w:type="gramStart"/>
      <w:r w:rsidR="00FC0DCF" w:rsidRPr="00ED30F7">
        <w:rPr>
          <w:rFonts w:ascii="Garamond" w:hAnsi="Garamond"/>
          <w:color w:val="000000" w:themeColor="text1"/>
          <w:sz w:val="22"/>
          <w:szCs w:val="22"/>
        </w:rPr>
        <w:t>disability-neutral</w:t>
      </w:r>
      <w:proofErr w:type="gramEnd"/>
      <w:r w:rsidR="00FC0DCF" w:rsidRPr="00ED30F7">
        <w:rPr>
          <w:rFonts w:ascii="Garamond" w:hAnsi="Garamond"/>
          <w:color w:val="000000" w:themeColor="text1"/>
          <w:sz w:val="22"/>
          <w:szCs w:val="22"/>
        </w:rPr>
        <w:t xml:space="preserve">. </w:t>
      </w:r>
      <w:r w:rsidR="00134BB7" w:rsidRPr="00ED30F7">
        <w:rPr>
          <w:rFonts w:ascii="Garamond" w:hAnsi="Garamond"/>
          <w:color w:val="000000" w:themeColor="text1"/>
          <w:sz w:val="22"/>
          <w:szCs w:val="22"/>
        </w:rPr>
        <w:t xml:space="preserve">One example would be to calculate </w:t>
      </w:r>
      <w:r w:rsidR="00FD7319">
        <w:rPr>
          <w:rFonts w:ascii="Garamond" w:hAnsi="Garamond"/>
          <w:color w:val="000000" w:themeColor="text1"/>
          <w:sz w:val="22"/>
          <w:szCs w:val="22"/>
        </w:rPr>
        <w:t xml:space="preserve">capacity to benefit quickly (and therefore </w:t>
      </w:r>
      <w:r w:rsidR="00134BB7" w:rsidRPr="00ED30F7">
        <w:rPr>
          <w:rFonts w:ascii="Garamond" w:hAnsi="Garamond"/>
          <w:color w:val="000000" w:themeColor="text1"/>
          <w:sz w:val="22"/>
          <w:szCs w:val="22"/>
        </w:rPr>
        <w:t>priority</w:t>
      </w:r>
      <w:r w:rsidR="00FD7319">
        <w:rPr>
          <w:rFonts w:ascii="Garamond" w:hAnsi="Garamond"/>
          <w:color w:val="000000" w:themeColor="text1"/>
          <w:sz w:val="22"/>
          <w:szCs w:val="22"/>
        </w:rPr>
        <w:t>)</w:t>
      </w:r>
      <w:r w:rsidR="00134BB7" w:rsidRPr="00ED30F7">
        <w:rPr>
          <w:rFonts w:ascii="Garamond" w:hAnsi="Garamond"/>
          <w:color w:val="000000" w:themeColor="text1"/>
          <w:sz w:val="22"/>
          <w:szCs w:val="22"/>
        </w:rPr>
        <w:t xml:space="preserve"> on the basis of a validated, wholly physiological, predictor of in-hospital mortality such as </w:t>
      </w:r>
      <w:r w:rsidR="00603C99" w:rsidRPr="00ED30F7">
        <w:rPr>
          <w:rFonts w:ascii="Garamond" w:hAnsi="Garamond"/>
          <w:color w:val="000000" w:themeColor="text1"/>
          <w:sz w:val="22"/>
          <w:szCs w:val="22"/>
        </w:rPr>
        <w:t>SOFA</w:t>
      </w:r>
      <w:r w:rsidR="00CC36C0" w:rsidRPr="00ED30F7">
        <w:rPr>
          <w:rFonts w:ascii="Garamond" w:hAnsi="Garamond"/>
          <w:color w:val="000000" w:themeColor="text1"/>
          <w:sz w:val="22"/>
          <w:szCs w:val="22"/>
        </w:rPr>
        <w:t xml:space="preserve"> </w:t>
      </w:r>
      <w:r w:rsidR="00134BB7" w:rsidRPr="00ED30F7">
        <w:rPr>
          <w:rFonts w:ascii="Garamond" w:hAnsi="Garamond"/>
          <w:color w:val="000000" w:themeColor="text1"/>
          <w:sz w:val="22"/>
          <w:szCs w:val="22"/>
        </w:rPr>
        <w:t>or LAPS2, as, e.g., proposed by White et al (2020)</w:t>
      </w:r>
      <w:r w:rsidR="009915F1">
        <w:rPr>
          <w:rFonts w:ascii="Garamond" w:hAnsi="Garamond"/>
          <w:color w:val="000000" w:themeColor="text1"/>
          <w:sz w:val="22"/>
          <w:szCs w:val="22"/>
        </w:rPr>
        <w:t xml:space="preserve"> [14]</w:t>
      </w:r>
      <w:r w:rsidR="00134BB7" w:rsidRPr="00ED30F7">
        <w:rPr>
          <w:rFonts w:ascii="Garamond" w:hAnsi="Garamond"/>
          <w:color w:val="000000" w:themeColor="text1"/>
          <w:sz w:val="22"/>
          <w:szCs w:val="22"/>
        </w:rPr>
        <w:t>. I</w:t>
      </w:r>
      <w:r w:rsidR="00CC36C0" w:rsidRPr="00ED30F7">
        <w:rPr>
          <w:rFonts w:ascii="Garamond" w:hAnsi="Garamond"/>
          <w:color w:val="000000" w:themeColor="text1"/>
          <w:sz w:val="22"/>
          <w:szCs w:val="22"/>
        </w:rPr>
        <w:t xml:space="preserve">t is notable that </w:t>
      </w:r>
      <w:r w:rsidR="00134BB7" w:rsidRPr="00ED30F7">
        <w:rPr>
          <w:rFonts w:ascii="Garamond" w:hAnsi="Garamond"/>
          <w:color w:val="000000" w:themeColor="text1"/>
          <w:sz w:val="22"/>
          <w:szCs w:val="22"/>
        </w:rPr>
        <w:t>most hospitals and healthcare providers have not indicated that they are adopting such a policy</w:t>
      </w:r>
      <w:r w:rsidR="00CC36C0" w:rsidRPr="00ED30F7">
        <w:rPr>
          <w:rFonts w:ascii="Garamond" w:hAnsi="Garamond"/>
          <w:color w:val="000000" w:themeColor="text1"/>
          <w:sz w:val="22"/>
          <w:szCs w:val="22"/>
        </w:rPr>
        <w:t>,</w:t>
      </w:r>
      <w:r w:rsidR="00134BB7" w:rsidRPr="00ED30F7">
        <w:rPr>
          <w:rFonts w:ascii="Garamond" w:hAnsi="Garamond"/>
          <w:color w:val="000000" w:themeColor="text1"/>
          <w:sz w:val="22"/>
          <w:szCs w:val="22"/>
        </w:rPr>
        <w:t xml:space="preserve"> instead continually making reference to</w:t>
      </w:r>
      <w:r w:rsidR="00FC103B">
        <w:rPr>
          <w:rFonts w:ascii="Garamond" w:hAnsi="Garamond"/>
          <w:color w:val="000000" w:themeColor="text1"/>
          <w:sz w:val="22"/>
          <w:szCs w:val="22"/>
        </w:rPr>
        <w:t xml:space="preserve"> highly judgment-dependent</w:t>
      </w:r>
      <w:r w:rsidR="00134BB7" w:rsidRPr="00ED30F7">
        <w:rPr>
          <w:rFonts w:ascii="Garamond" w:hAnsi="Garamond"/>
          <w:color w:val="000000" w:themeColor="text1"/>
          <w:sz w:val="22"/>
          <w:szCs w:val="22"/>
        </w:rPr>
        <w:t xml:space="preserve"> frailty scales and the possible need to deny care to </w:t>
      </w:r>
      <w:r w:rsidR="00FC103B">
        <w:rPr>
          <w:rFonts w:ascii="Garamond" w:hAnsi="Garamond"/>
          <w:color w:val="000000" w:themeColor="text1"/>
          <w:sz w:val="22"/>
          <w:szCs w:val="22"/>
        </w:rPr>
        <w:t xml:space="preserve">individuals with </w:t>
      </w:r>
      <w:r w:rsidR="00134BB7" w:rsidRPr="00ED30F7">
        <w:rPr>
          <w:rFonts w:ascii="Garamond" w:hAnsi="Garamond"/>
          <w:color w:val="000000" w:themeColor="text1"/>
          <w:sz w:val="22"/>
          <w:szCs w:val="22"/>
        </w:rPr>
        <w:t xml:space="preserve">certain kinds of co-morbidities </w:t>
      </w:r>
      <w:r w:rsidR="009915F1">
        <w:rPr>
          <w:rFonts w:ascii="Garamond" w:hAnsi="Garamond"/>
          <w:color w:val="000000" w:themeColor="text1"/>
          <w:sz w:val="22"/>
          <w:szCs w:val="22"/>
        </w:rPr>
        <w:t>[10, 12]</w:t>
      </w:r>
      <w:r w:rsidR="00134BB7" w:rsidRPr="00ED30F7">
        <w:rPr>
          <w:rFonts w:ascii="Garamond" w:hAnsi="Garamond"/>
          <w:color w:val="000000" w:themeColor="text1"/>
          <w:sz w:val="22"/>
          <w:szCs w:val="22"/>
        </w:rPr>
        <w:t>. This may be because doing the necessary measurements and tests to get a SOFA or LAPS2 score for every patient who would normally be eligible for ICU treatment</w:t>
      </w:r>
      <w:r w:rsidR="00695F6C" w:rsidRPr="00ED30F7">
        <w:rPr>
          <w:rFonts w:ascii="Garamond" w:hAnsi="Garamond"/>
          <w:color w:val="000000" w:themeColor="text1"/>
          <w:sz w:val="22"/>
          <w:szCs w:val="22"/>
        </w:rPr>
        <w:t xml:space="preserve"> is likely to be somewhat time-consuming, which is a significant barrier to implementation during a pandemic.</w:t>
      </w:r>
    </w:p>
    <w:p w14:paraId="3B861A9D" w14:textId="7BD038D7" w:rsidR="00134BB7" w:rsidRPr="00C66690" w:rsidRDefault="00134BB7" w:rsidP="00DA6815">
      <w:pPr>
        <w:spacing w:after="80" w:line="276" w:lineRule="auto"/>
        <w:rPr>
          <w:rFonts w:ascii="Garamond" w:hAnsi="Garamond"/>
          <w:color w:val="000000" w:themeColor="text1"/>
          <w:sz w:val="22"/>
          <w:szCs w:val="22"/>
        </w:rPr>
      </w:pPr>
      <w:r w:rsidRPr="00ED30F7">
        <w:rPr>
          <w:rFonts w:ascii="Garamond" w:hAnsi="Garamond"/>
          <w:color w:val="000000" w:themeColor="text1"/>
          <w:sz w:val="22"/>
          <w:szCs w:val="22"/>
        </w:rPr>
        <w:t>Let us assume though that assessment</w:t>
      </w:r>
      <w:r w:rsidR="00695F6C" w:rsidRPr="00ED30F7">
        <w:rPr>
          <w:rFonts w:ascii="Garamond" w:hAnsi="Garamond"/>
          <w:color w:val="000000" w:themeColor="text1"/>
          <w:sz w:val="22"/>
          <w:szCs w:val="22"/>
        </w:rPr>
        <w:t xml:space="preserve"> of capacity to benefit quickly can be done in a way that is suitably </w:t>
      </w:r>
      <w:proofErr w:type="gramStart"/>
      <w:r w:rsidR="00695F6C" w:rsidRPr="00ED30F7">
        <w:rPr>
          <w:rFonts w:ascii="Garamond" w:hAnsi="Garamond"/>
          <w:color w:val="000000" w:themeColor="text1"/>
          <w:sz w:val="22"/>
          <w:szCs w:val="22"/>
        </w:rPr>
        <w:t>accurate, and</w:t>
      </w:r>
      <w:proofErr w:type="gramEnd"/>
      <w:r w:rsidR="00695F6C" w:rsidRPr="00ED30F7">
        <w:rPr>
          <w:rFonts w:ascii="Garamond" w:hAnsi="Garamond"/>
          <w:color w:val="000000" w:themeColor="text1"/>
          <w:sz w:val="22"/>
          <w:szCs w:val="22"/>
        </w:rPr>
        <w:t xml:space="preserve"> is not directly discriminatory (i.e. does not take membership in a protected category into account explicitly). Basing rationing decisions on such a measure probably would, on average, save more lives and life years</w:t>
      </w:r>
      <w:r w:rsidR="00DD262B">
        <w:rPr>
          <w:rFonts w:ascii="Garamond" w:hAnsi="Garamond"/>
          <w:color w:val="000000" w:themeColor="text1"/>
          <w:sz w:val="22"/>
          <w:szCs w:val="22"/>
        </w:rPr>
        <w:t xml:space="preserve"> overall</w:t>
      </w:r>
      <w:r w:rsidR="00695F6C" w:rsidRPr="00ED30F7">
        <w:rPr>
          <w:rFonts w:ascii="Garamond" w:hAnsi="Garamond"/>
          <w:color w:val="000000" w:themeColor="text1"/>
          <w:sz w:val="22"/>
          <w:szCs w:val="22"/>
        </w:rPr>
        <w:t xml:space="preserve"> than alternatives (such as minimal triage</w:t>
      </w:r>
      <w:r w:rsidR="00695F6C" w:rsidRPr="00ED30F7">
        <w:rPr>
          <w:rStyle w:val="FootnoteReference"/>
          <w:rFonts w:ascii="Garamond" w:hAnsi="Garamond"/>
          <w:color w:val="000000" w:themeColor="text1"/>
          <w:sz w:val="22"/>
          <w:szCs w:val="22"/>
        </w:rPr>
        <w:footnoteReference w:id="2"/>
      </w:r>
      <w:r w:rsidR="00695F6C" w:rsidRPr="00ED30F7">
        <w:rPr>
          <w:rFonts w:ascii="Garamond" w:hAnsi="Garamond"/>
          <w:color w:val="000000" w:themeColor="text1"/>
          <w:sz w:val="22"/>
          <w:szCs w:val="22"/>
        </w:rPr>
        <w:t xml:space="preserve">). But this is not the end of the matter, ethically speaking, since </w:t>
      </w:r>
      <w:r w:rsidR="0059539A">
        <w:rPr>
          <w:rFonts w:ascii="Garamond" w:hAnsi="Garamond"/>
          <w:color w:val="000000" w:themeColor="text1"/>
          <w:sz w:val="22"/>
          <w:szCs w:val="22"/>
        </w:rPr>
        <w:t>such a rationing process</w:t>
      </w:r>
      <w:r w:rsidR="00695F6C" w:rsidRPr="00ED30F7">
        <w:rPr>
          <w:rFonts w:ascii="Garamond" w:hAnsi="Garamond"/>
          <w:color w:val="000000" w:themeColor="text1"/>
          <w:sz w:val="22"/>
          <w:szCs w:val="22"/>
        </w:rPr>
        <w:t xml:space="preserve"> will also predictably cause a proportionately higher burden of mortality and morbidity to fall on those with certain disabilities.</w:t>
      </w:r>
      <w:r w:rsidR="00C66690">
        <w:rPr>
          <w:rFonts w:ascii="Garamond" w:hAnsi="Garamond"/>
          <w:color w:val="000000" w:themeColor="text1"/>
          <w:sz w:val="22"/>
          <w:szCs w:val="22"/>
        </w:rPr>
        <w:t xml:space="preserve"> That is, it is</w:t>
      </w:r>
      <w:r w:rsidR="009915F1">
        <w:rPr>
          <w:rFonts w:ascii="Garamond" w:hAnsi="Garamond"/>
          <w:color w:val="000000" w:themeColor="text1"/>
          <w:sz w:val="22"/>
          <w:szCs w:val="22"/>
        </w:rPr>
        <w:t xml:space="preserve">, </w:t>
      </w:r>
      <w:r w:rsidR="00C66690">
        <w:rPr>
          <w:rFonts w:ascii="Garamond" w:hAnsi="Garamond"/>
          <w:color w:val="000000" w:themeColor="text1"/>
          <w:sz w:val="22"/>
          <w:szCs w:val="22"/>
        </w:rPr>
        <w:t>as its advocates readily admit</w:t>
      </w:r>
      <w:r w:rsidR="009915F1">
        <w:rPr>
          <w:rFonts w:ascii="Garamond" w:hAnsi="Garamond"/>
          <w:color w:val="000000" w:themeColor="text1"/>
          <w:sz w:val="22"/>
          <w:szCs w:val="22"/>
        </w:rPr>
        <w:t xml:space="preserve"> [2],</w:t>
      </w:r>
      <w:r w:rsidR="00C66690">
        <w:rPr>
          <w:rFonts w:ascii="Garamond" w:hAnsi="Garamond"/>
          <w:color w:val="000000" w:themeColor="text1"/>
          <w:sz w:val="22"/>
          <w:szCs w:val="22"/>
        </w:rPr>
        <w:t xml:space="preserve"> </w:t>
      </w:r>
      <w:r w:rsidR="00C66690">
        <w:rPr>
          <w:rFonts w:ascii="Garamond" w:hAnsi="Garamond"/>
          <w:i/>
          <w:iCs/>
          <w:color w:val="000000" w:themeColor="text1"/>
          <w:sz w:val="22"/>
          <w:szCs w:val="22"/>
        </w:rPr>
        <w:t xml:space="preserve">indirectly </w:t>
      </w:r>
      <w:r w:rsidR="00C66690">
        <w:rPr>
          <w:rFonts w:ascii="Garamond" w:hAnsi="Garamond"/>
          <w:color w:val="000000" w:themeColor="text1"/>
          <w:sz w:val="22"/>
          <w:szCs w:val="22"/>
        </w:rPr>
        <w:t>discriminatory.</w:t>
      </w:r>
    </w:p>
    <w:p w14:paraId="55D6D602" w14:textId="3C824D78" w:rsidR="00CC36C0" w:rsidRPr="00ED30F7" w:rsidRDefault="00CC36C0" w:rsidP="00DA6815">
      <w:pPr>
        <w:spacing w:after="80" w:line="276" w:lineRule="auto"/>
        <w:rPr>
          <w:rFonts w:ascii="Garamond" w:hAnsi="Garamond"/>
          <w:color w:val="000000" w:themeColor="text1"/>
          <w:sz w:val="22"/>
          <w:szCs w:val="22"/>
        </w:rPr>
      </w:pPr>
    </w:p>
    <w:p w14:paraId="6DE2BB8C" w14:textId="75210E22" w:rsidR="00DE0AD3" w:rsidRPr="00ED30F7" w:rsidRDefault="00DE0AD3" w:rsidP="00DA6815">
      <w:pPr>
        <w:spacing w:after="80" w:line="276" w:lineRule="auto"/>
        <w:rPr>
          <w:rFonts w:ascii="Garamond" w:hAnsi="Garamond"/>
          <w:b/>
          <w:bCs/>
          <w:color w:val="000000" w:themeColor="text1"/>
        </w:rPr>
      </w:pPr>
      <w:r w:rsidRPr="00ED30F7">
        <w:rPr>
          <w:rFonts w:ascii="Garamond" w:hAnsi="Garamond"/>
          <w:b/>
          <w:bCs/>
          <w:color w:val="000000" w:themeColor="text1"/>
        </w:rPr>
        <w:t>Removing the Utilitarian Blinkers</w:t>
      </w:r>
    </w:p>
    <w:p w14:paraId="56293FA7" w14:textId="7405F2E2" w:rsidR="00DE0AD3" w:rsidRPr="00ED30F7" w:rsidRDefault="00695F6C" w:rsidP="00DA6815">
      <w:pPr>
        <w:spacing w:after="80" w:line="276" w:lineRule="auto"/>
        <w:rPr>
          <w:rFonts w:ascii="Garamond" w:hAnsi="Garamond"/>
          <w:color w:val="000000" w:themeColor="text1"/>
          <w:sz w:val="22"/>
          <w:szCs w:val="22"/>
        </w:rPr>
      </w:pPr>
      <w:r w:rsidRPr="00ED30F7">
        <w:rPr>
          <w:rFonts w:ascii="Garamond" w:hAnsi="Garamond"/>
          <w:color w:val="000000" w:themeColor="text1"/>
          <w:sz w:val="22"/>
          <w:szCs w:val="22"/>
        </w:rPr>
        <w:t>We</w:t>
      </w:r>
      <w:r w:rsidR="00DE0AD3" w:rsidRPr="00ED30F7">
        <w:rPr>
          <w:rFonts w:ascii="Garamond" w:hAnsi="Garamond"/>
          <w:color w:val="000000" w:themeColor="text1"/>
          <w:sz w:val="22"/>
          <w:szCs w:val="22"/>
        </w:rPr>
        <w:t xml:space="preserve"> should not be dazzled by </w:t>
      </w:r>
      <w:r w:rsidR="00EE2DBE" w:rsidRPr="00ED30F7">
        <w:rPr>
          <w:rFonts w:ascii="Garamond" w:hAnsi="Garamond"/>
          <w:color w:val="000000" w:themeColor="text1"/>
          <w:sz w:val="22"/>
          <w:szCs w:val="22"/>
        </w:rPr>
        <w:t xml:space="preserve">the misleadingly uncontroversial manner in which Utilitarian principles </w:t>
      </w:r>
      <w:r w:rsidRPr="00ED30F7">
        <w:rPr>
          <w:rFonts w:ascii="Garamond" w:hAnsi="Garamond"/>
          <w:color w:val="000000" w:themeColor="text1"/>
          <w:sz w:val="22"/>
          <w:szCs w:val="22"/>
        </w:rPr>
        <w:t xml:space="preserve">such as always acting so as to minimise the number of overall deaths </w:t>
      </w:r>
      <w:proofErr w:type="gramStart"/>
      <w:r w:rsidR="00EE2DBE" w:rsidRPr="00ED30F7">
        <w:rPr>
          <w:rFonts w:ascii="Garamond" w:hAnsi="Garamond"/>
          <w:color w:val="000000" w:themeColor="text1"/>
          <w:sz w:val="22"/>
          <w:szCs w:val="22"/>
        </w:rPr>
        <w:t>are</w:t>
      </w:r>
      <w:proofErr w:type="gramEnd"/>
      <w:r w:rsidR="00EE2DBE" w:rsidRPr="00ED30F7">
        <w:rPr>
          <w:rFonts w:ascii="Garamond" w:hAnsi="Garamond"/>
          <w:color w:val="000000" w:themeColor="text1"/>
          <w:sz w:val="22"/>
          <w:szCs w:val="22"/>
        </w:rPr>
        <w:t xml:space="preserve"> asserted</w:t>
      </w:r>
      <w:r w:rsidR="00DE0AD3" w:rsidRPr="00ED30F7">
        <w:rPr>
          <w:rFonts w:ascii="Garamond" w:hAnsi="Garamond"/>
          <w:color w:val="000000" w:themeColor="text1"/>
          <w:sz w:val="22"/>
          <w:szCs w:val="22"/>
        </w:rPr>
        <w:t>.</w:t>
      </w:r>
      <w:r w:rsidRPr="00ED30F7">
        <w:rPr>
          <w:rFonts w:ascii="Garamond" w:hAnsi="Garamond"/>
          <w:color w:val="000000" w:themeColor="text1"/>
          <w:sz w:val="22"/>
          <w:szCs w:val="22"/>
        </w:rPr>
        <w:t xml:space="preserve"> Persad correctly states that “Saving lives is not a distinctively Utilitarian goal”</w:t>
      </w:r>
      <w:r w:rsidR="00771742">
        <w:rPr>
          <w:rFonts w:ascii="Garamond" w:hAnsi="Garamond"/>
          <w:color w:val="000000" w:themeColor="text1"/>
          <w:sz w:val="22"/>
          <w:szCs w:val="22"/>
        </w:rPr>
        <w:t xml:space="preserve"> [2]</w:t>
      </w:r>
      <w:r w:rsidRPr="00ED30F7">
        <w:rPr>
          <w:rFonts w:ascii="Garamond" w:hAnsi="Garamond"/>
          <w:color w:val="000000" w:themeColor="text1"/>
          <w:sz w:val="22"/>
          <w:szCs w:val="22"/>
        </w:rPr>
        <w:t xml:space="preserve">, but he is wrong to </w:t>
      </w:r>
      <w:r w:rsidR="00837903" w:rsidRPr="00ED30F7">
        <w:rPr>
          <w:rFonts w:ascii="Garamond" w:hAnsi="Garamond"/>
          <w:color w:val="000000" w:themeColor="text1"/>
          <w:sz w:val="22"/>
          <w:szCs w:val="22"/>
        </w:rPr>
        <w:t>think</w:t>
      </w:r>
      <w:r w:rsidRPr="00ED30F7">
        <w:rPr>
          <w:rFonts w:ascii="Garamond" w:hAnsi="Garamond"/>
          <w:color w:val="000000" w:themeColor="text1"/>
          <w:sz w:val="22"/>
          <w:szCs w:val="22"/>
        </w:rPr>
        <w:t xml:space="preserve"> that </w:t>
      </w:r>
      <w:r w:rsidR="00837903" w:rsidRPr="00ED30F7">
        <w:rPr>
          <w:rFonts w:ascii="Garamond" w:hAnsi="Garamond"/>
          <w:color w:val="000000" w:themeColor="text1"/>
          <w:sz w:val="22"/>
          <w:szCs w:val="22"/>
        </w:rPr>
        <w:t xml:space="preserve">this justifies pursuing this goal to the significant exclusion of others, even during a pandemic. What </w:t>
      </w:r>
      <w:r w:rsidR="00687311">
        <w:rPr>
          <w:rFonts w:ascii="Garamond" w:hAnsi="Garamond"/>
          <w:color w:val="000000" w:themeColor="text1"/>
          <w:sz w:val="22"/>
          <w:szCs w:val="22"/>
        </w:rPr>
        <w:t>we</w:t>
      </w:r>
      <w:r w:rsidR="00837903" w:rsidRPr="00ED30F7">
        <w:rPr>
          <w:rFonts w:ascii="Garamond" w:hAnsi="Garamond"/>
          <w:color w:val="000000" w:themeColor="text1"/>
          <w:sz w:val="22"/>
          <w:szCs w:val="22"/>
        </w:rPr>
        <w:t xml:space="preserve"> non-</w:t>
      </w:r>
      <w:proofErr w:type="spellStart"/>
      <w:r w:rsidR="00837903" w:rsidRPr="00ED30F7">
        <w:rPr>
          <w:rFonts w:ascii="Garamond" w:hAnsi="Garamond"/>
          <w:color w:val="000000" w:themeColor="text1"/>
          <w:sz w:val="22"/>
          <w:szCs w:val="22"/>
        </w:rPr>
        <w:t>Utilitarians</w:t>
      </w:r>
      <w:proofErr w:type="spellEnd"/>
      <w:r w:rsidR="00837903" w:rsidRPr="00ED30F7">
        <w:rPr>
          <w:rFonts w:ascii="Garamond" w:hAnsi="Garamond"/>
          <w:color w:val="000000" w:themeColor="text1"/>
          <w:sz w:val="22"/>
          <w:szCs w:val="22"/>
        </w:rPr>
        <w:t xml:space="preserve"> </w:t>
      </w:r>
      <w:r w:rsidR="00837903" w:rsidRPr="00ED30F7">
        <w:rPr>
          <w:rFonts w:ascii="Garamond" w:hAnsi="Garamond"/>
          <w:i/>
          <w:iCs/>
          <w:color w:val="000000" w:themeColor="text1"/>
          <w:sz w:val="22"/>
          <w:szCs w:val="22"/>
        </w:rPr>
        <w:t xml:space="preserve">will </w:t>
      </w:r>
      <w:r w:rsidR="00837903" w:rsidRPr="00ED30F7">
        <w:rPr>
          <w:rFonts w:ascii="Garamond" w:hAnsi="Garamond"/>
          <w:color w:val="000000" w:themeColor="text1"/>
          <w:sz w:val="22"/>
          <w:szCs w:val="22"/>
        </w:rPr>
        <w:t xml:space="preserve">agree on is something like the following: that saving as many lives as possible is permissible (indeed, obligatory) </w:t>
      </w:r>
      <w:r w:rsidR="00837903" w:rsidRPr="00ED30F7">
        <w:rPr>
          <w:rFonts w:ascii="Garamond" w:hAnsi="Garamond"/>
          <w:i/>
          <w:iCs/>
          <w:color w:val="000000" w:themeColor="text1"/>
          <w:sz w:val="22"/>
          <w:szCs w:val="22"/>
        </w:rPr>
        <w:t xml:space="preserve">only once you have satisfied </w:t>
      </w:r>
      <w:r w:rsidR="004137D0">
        <w:rPr>
          <w:rFonts w:ascii="Garamond" w:hAnsi="Garamond"/>
          <w:i/>
          <w:iCs/>
          <w:color w:val="000000" w:themeColor="text1"/>
          <w:sz w:val="22"/>
          <w:szCs w:val="22"/>
        </w:rPr>
        <w:t xml:space="preserve">the core </w:t>
      </w:r>
      <w:r w:rsidR="00837903" w:rsidRPr="00ED30F7">
        <w:rPr>
          <w:rFonts w:ascii="Garamond" w:hAnsi="Garamond"/>
          <w:i/>
          <w:iCs/>
          <w:color w:val="000000" w:themeColor="text1"/>
          <w:sz w:val="22"/>
          <w:szCs w:val="22"/>
        </w:rPr>
        <w:t>requirements</w:t>
      </w:r>
      <w:r w:rsidR="00837903" w:rsidRPr="00ED30F7">
        <w:rPr>
          <w:rFonts w:ascii="Garamond" w:hAnsi="Garamond"/>
          <w:color w:val="000000" w:themeColor="text1"/>
          <w:sz w:val="22"/>
          <w:szCs w:val="22"/>
        </w:rPr>
        <w:t xml:space="preserve"> of justice, fairness, respect</w:t>
      </w:r>
      <w:r w:rsidR="00717F2D">
        <w:rPr>
          <w:rFonts w:ascii="Garamond" w:hAnsi="Garamond"/>
          <w:color w:val="000000" w:themeColor="text1"/>
          <w:sz w:val="22"/>
          <w:szCs w:val="22"/>
        </w:rPr>
        <w:t>, etc</w:t>
      </w:r>
      <w:r w:rsidR="00837903" w:rsidRPr="00ED30F7">
        <w:rPr>
          <w:rFonts w:ascii="Garamond" w:hAnsi="Garamond"/>
          <w:color w:val="000000" w:themeColor="text1"/>
          <w:sz w:val="22"/>
          <w:szCs w:val="22"/>
        </w:rPr>
        <w:t>.</w:t>
      </w:r>
    </w:p>
    <w:p w14:paraId="3EA4E1CB" w14:textId="58966B9C" w:rsidR="005E29E5" w:rsidRDefault="005E29E5" w:rsidP="00DA6815">
      <w:pPr>
        <w:spacing w:after="80" w:line="276" w:lineRule="auto"/>
        <w:rPr>
          <w:rFonts w:ascii="Garamond" w:hAnsi="Garamond"/>
          <w:color w:val="000000" w:themeColor="text1"/>
          <w:sz w:val="22"/>
          <w:szCs w:val="22"/>
        </w:rPr>
      </w:pPr>
      <w:r w:rsidRPr="00ED30F7">
        <w:rPr>
          <w:rFonts w:ascii="Garamond" w:hAnsi="Garamond"/>
          <w:color w:val="000000" w:themeColor="text1"/>
          <w:sz w:val="22"/>
          <w:szCs w:val="22"/>
        </w:rPr>
        <w:t xml:space="preserve">One such requirement is </w:t>
      </w:r>
      <w:r w:rsidR="001C3188">
        <w:rPr>
          <w:rFonts w:ascii="Garamond" w:hAnsi="Garamond"/>
          <w:color w:val="000000" w:themeColor="text1"/>
          <w:sz w:val="22"/>
          <w:szCs w:val="22"/>
        </w:rPr>
        <w:t xml:space="preserve">sometimes </w:t>
      </w:r>
      <w:r w:rsidRPr="00ED30F7">
        <w:rPr>
          <w:rFonts w:ascii="Garamond" w:hAnsi="Garamond"/>
          <w:color w:val="000000" w:themeColor="text1"/>
          <w:sz w:val="22"/>
          <w:szCs w:val="22"/>
        </w:rPr>
        <w:t>referred to as the Principle of Humanity</w:t>
      </w:r>
      <w:r w:rsidRPr="00ED30F7">
        <w:rPr>
          <w:rStyle w:val="FootnoteReference"/>
          <w:rFonts w:ascii="Garamond" w:hAnsi="Garamond"/>
          <w:color w:val="000000" w:themeColor="text1"/>
          <w:sz w:val="22"/>
          <w:szCs w:val="22"/>
        </w:rPr>
        <w:footnoteReference w:id="3"/>
      </w:r>
      <w:r w:rsidR="00687311">
        <w:rPr>
          <w:rFonts w:ascii="Garamond" w:hAnsi="Garamond"/>
          <w:color w:val="000000" w:themeColor="text1"/>
          <w:sz w:val="22"/>
          <w:szCs w:val="22"/>
        </w:rPr>
        <w:t xml:space="preserve">. It </w:t>
      </w:r>
      <w:r w:rsidR="00E84C64">
        <w:rPr>
          <w:rFonts w:ascii="Garamond" w:hAnsi="Garamond"/>
          <w:color w:val="000000" w:themeColor="text1"/>
          <w:sz w:val="22"/>
          <w:szCs w:val="22"/>
        </w:rPr>
        <w:t>enjoys</w:t>
      </w:r>
      <w:r w:rsidR="00687311">
        <w:rPr>
          <w:rFonts w:ascii="Garamond" w:hAnsi="Garamond"/>
          <w:color w:val="000000" w:themeColor="text1"/>
          <w:sz w:val="22"/>
          <w:szCs w:val="22"/>
        </w:rPr>
        <w:t xml:space="preserve"> intuitive </w:t>
      </w:r>
      <w:r w:rsidR="00E84C64">
        <w:rPr>
          <w:rFonts w:ascii="Garamond" w:hAnsi="Garamond"/>
          <w:color w:val="000000" w:themeColor="text1"/>
          <w:sz w:val="22"/>
          <w:szCs w:val="22"/>
        </w:rPr>
        <w:t>appeal and</w:t>
      </w:r>
      <w:r w:rsidR="00687311">
        <w:rPr>
          <w:rFonts w:ascii="Garamond" w:hAnsi="Garamond"/>
          <w:color w:val="000000" w:themeColor="text1"/>
          <w:sz w:val="22"/>
          <w:szCs w:val="22"/>
        </w:rPr>
        <w:t xml:space="preserve"> is explicitly noted by the BMA as a principle they wish to </w:t>
      </w:r>
      <w:r w:rsidR="00E84C64">
        <w:rPr>
          <w:rFonts w:ascii="Garamond" w:hAnsi="Garamond"/>
          <w:color w:val="000000" w:themeColor="text1"/>
          <w:sz w:val="22"/>
          <w:szCs w:val="22"/>
        </w:rPr>
        <w:t>maintain respect for</w:t>
      </w:r>
      <w:r w:rsidR="00687311">
        <w:rPr>
          <w:rFonts w:ascii="Garamond" w:hAnsi="Garamond"/>
          <w:color w:val="000000" w:themeColor="text1"/>
          <w:sz w:val="22"/>
          <w:szCs w:val="22"/>
        </w:rPr>
        <w:t xml:space="preserve"> during the pandemic, while rebalancing its significance in favour of Utilitarian considerations. They write,</w:t>
      </w:r>
    </w:p>
    <w:p w14:paraId="5888143F" w14:textId="77777777" w:rsidR="00687311" w:rsidRDefault="00687311" w:rsidP="00DA6815">
      <w:pPr>
        <w:spacing w:after="80" w:line="276" w:lineRule="auto"/>
        <w:rPr>
          <w:rFonts w:ascii="Garamond" w:hAnsi="Garamond"/>
          <w:color w:val="000000" w:themeColor="text1"/>
          <w:sz w:val="22"/>
          <w:szCs w:val="22"/>
        </w:rPr>
      </w:pPr>
    </w:p>
    <w:p w14:paraId="783BEFBA" w14:textId="3D6D0B92" w:rsidR="00E84C64" w:rsidRDefault="00687311" w:rsidP="00E84C64">
      <w:pPr>
        <w:spacing w:after="80" w:line="276" w:lineRule="auto"/>
        <w:ind w:left="360"/>
        <w:rPr>
          <w:rFonts w:ascii="Garamond" w:hAnsi="Garamond"/>
          <w:color w:val="000000" w:themeColor="text1"/>
          <w:sz w:val="22"/>
          <w:szCs w:val="22"/>
        </w:rPr>
      </w:pPr>
      <w:r w:rsidRPr="00687311">
        <w:rPr>
          <w:rFonts w:ascii="Garamond" w:hAnsi="Garamond"/>
          <w:color w:val="000000" w:themeColor="text1"/>
          <w:sz w:val="22"/>
          <w:szCs w:val="22"/>
        </w:rPr>
        <w:t>In dangerous pandemics the ethical balance of all doctors and health care workers must shift towards the utilitarian objective of equitable concern for all – while maintaining respect for all as ‘ends in themselves’. (BMA 2020: 2)</w:t>
      </w:r>
      <w:r w:rsidR="00771742">
        <w:rPr>
          <w:rFonts w:ascii="Garamond" w:hAnsi="Garamond"/>
          <w:color w:val="000000" w:themeColor="text1"/>
          <w:sz w:val="22"/>
          <w:szCs w:val="22"/>
        </w:rPr>
        <w:t xml:space="preserve"> [12]</w:t>
      </w:r>
    </w:p>
    <w:p w14:paraId="033A3543" w14:textId="77777777" w:rsidR="00E84C64" w:rsidRDefault="00E84C64" w:rsidP="00E84C64">
      <w:pPr>
        <w:spacing w:after="80" w:line="276" w:lineRule="auto"/>
        <w:rPr>
          <w:rFonts w:ascii="Garamond" w:hAnsi="Garamond"/>
          <w:color w:val="000000" w:themeColor="text1"/>
          <w:sz w:val="22"/>
          <w:szCs w:val="22"/>
        </w:rPr>
      </w:pPr>
    </w:p>
    <w:p w14:paraId="1F4455A7" w14:textId="27EFFB47" w:rsidR="00E84C64" w:rsidRPr="00EF5CDE" w:rsidRDefault="00E84C64" w:rsidP="00E84C64">
      <w:pPr>
        <w:spacing w:after="80" w:line="276" w:lineRule="auto"/>
        <w:rPr>
          <w:rFonts w:ascii="Garamond" w:hAnsi="Garamond"/>
          <w:color w:val="000000" w:themeColor="text1"/>
          <w:sz w:val="22"/>
          <w:szCs w:val="22"/>
        </w:rPr>
      </w:pPr>
      <w:r w:rsidRPr="00020341">
        <w:rPr>
          <w:rFonts w:ascii="Garamond" w:hAnsi="Garamond"/>
          <w:color w:val="000000" w:themeColor="text1"/>
          <w:sz w:val="22"/>
          <w:szCs w:val="22"/>
        </w:rPr>
        <w:t xml:space="preserve">Ordinarily understood, the requirement of respecting </w:t>
      </w:r>
      <w:r w:rsidR="00DB5BA5">
        <w:rPr>
          <w:rFonts w:ascii="Garamond" w:hAnsi="Garamond"/>
          <w:color w:val="000000" w:themeColor="text1"/>
          <w:sz w:val="22"/>
          <w:szCs w:val="22"/>
        </w:rPr>
        <w:t xml:space="preserve">all </w:t>
      </w:r>
      <w:r w:rsidRPr="00020341">
        <w:rPr>
          <w:rFonts w:ascii="Garamond" w:hAnsi="Garamond"/>
          <w:color w:val="000000" w:themeColor="text1"/>
          <w:sz w:val="22"/>
          <w:szCs w:val="22"/>
        </w:rPr>
        <w:t>pe</w:t>
      </w:r>
      <w:r w:rsidR="00DB5BA5">
        <w:rPr>
          <w:rFonts w:ascii="Garamond" w:hAnsi="Garamond"/>
          <w:color w:val="000000" w:themeColor="text1"/>
          <w:sz w:val="22"/>
          <w:szCs w:val="22"/>
        </w:rPr>
        <w:t>rsons</w:t>
      </w:r>
      <w:r w:rsidRPr="00020341">
        <w:rPr>
          <w:rFonts w:ascii="Garamond" w:hAnsi="Garamond"/>
          <w:color w:val="000000" w:themeColor="text1"/>
          <w:sz w:val="22"/>
          <w:szCs w:val="22"/>
        </w:rPr>
        <w:t xml:space="preserve"> as ‘ends in themselves’ involves (minimally) treating </w:t>
      </w:r>
      <w:r w:rsidR="00DB5BA5">
        <w:rPr>
          <w:rFonts w:ascii="Garamond" w:hAnsi="Garamond"/>
          <w:color w:val="000000" w:themeColor="text1"/>
          <w:sz w:val="22"/>
          <w:szCs w:val="22"/>
        </w:rPr>
        <w:t>their lives</w:t>
      </w:r>
      <w:r w:rsidRPr="00020341">
        <w:rPr>
          <w:rFonts w:ascii="Garamond" w:hAnsi="Garamond"/>
          <w:color w:val="000000" w:themeColor="text1"/>
          <w:sz w:val="22"/>
          <w:szCs w:val="22"/>
        </w:rPr>
        <w:t xml:space="preserve"> as the sort of thing that we</w:t>
      </w:r>
      <w:r w:rsidRPr="00020341">
        <w:rPr>
          <w:rFonts w:ascii="Garamond" w:hAnsi="Garamond"/>
          <w:i/>
          <w:iCs/>
          <w:color w:val="000000" w:themeColor="text1"/>
          <w:sz w:val="22"/>
          <w:szCs w:val="22"/>
        </w:rPr>
        <w:t xml:space="preserve"> cannot </w:t>
      </w:r>
      <w:r w:rsidRPr="00020341">
        <w:rPr>
          <w:rFonts w:ascii="Garamond" w:hAnsi="Garamond"/>
          <w:color w:val="000000" w:themeColor="text1"/>
          <w:sz w:val="22"/>
          <w:szCs w:val="22"/>
        </w:rPr>
        <w:t xml:space="preserve">knowingly sacrifice </w:t>
      </w:r>
      <w:r w:rsidR="004137D0" w:rsidRPr="00DB5BA5">
        <w:rPr>
          <w:rFonts w:ascii="Garamond" w:hAnsi="Garamond"/>
          <w:i/>
          <w:iCs/>
          <w:color w:val="000000" w:themeColor="text1"/>
          <w:sz w:val="22"/>
          <w:szCs w:val="22"/>
        </w:rPr>
        <w:t>merely</w:t>
      </w:r>
      <w:r w:rsidR="004137D0">
        <w:rPr>
          <w:rFonts w:ascii="Garamond" w:hAnsi="Garamond"/>
          <w:color w:val="000000" w:themeColor="text1"/>
          <w:sz w:val="22"/>
          <w:szCs w:val="22"/>
        </w:rPr>
        <w:t xml:space="preserve"> to</w:t>
      </w:r>
      <w:r w:rsidRPr="00020341">
        <w:rPr>
          <w:rFonts w:ascii="Garamond" w:hAnsi="Garamond"/>
          <w:color w:val="000000" w:themeColor="text1"/>
          <w:sz w:val="22"/>
          <w:szCs w:val="22"/>
        </w:rPr>
        <w:t xml:space="preserve"> achieve </w:t>
      </w:r>
      <w:r w:rsidRPr="00DB5BA5">
        <w:rPr>
          <w:rFonts w:ascii="Garamond" w:hAnsi="Garamond"/>
          <w:color w:val="000000" w:themeColor="text1"/>
          <w:sz w:val="22"/>
          <w:szCs w:val="22"/>
        </w:rPr>
        <w:t xml:space="preserve">our </w:t>
      </w:r>
      <w:r w:rsidR="00D966A4">
        <w:rPr>
          <w:rFonts w:ascii="Garamond" w:hAnsi="Garamond"/>
          <w:color w:val="000000" w:themeColor="text1"/>
          <w:sz w:val="22"/>
          <w:szCs w:val="22"/>
        </w:rPr>
        <w:t xml:space="preserve">own </w:t>
      </w:r>
      <w:r w:rsidRPr="00020341">
        <w:rPr>
          <w:rFonts w:ascii="Garamond" w:hAnsi="Garamond"/>
          <w:color w:val="000000" w:themeColor="text1"/>
          <w:sz w:val="22"/>
          <w:szCs w:val="22"/>
        </w:rPr>
        <w:t xml:space="preserve">goals, however laudable we may think they are. </w:t>
      </w:r>
      <w:r w:rsidR="000F7ED3">
        <w:rPr>
          <w:rFonts w:ascii="Garamond" w:hAnsi="Garamond"/>
          <w:color w:val="000000" w:themeColor="text1"/>
          <w:sz w:val="22"/>
          <w:szCs w:val="22"/>
        </w:rPr>
        <w:t>The weakest</w:t>
      </w:r>
      <w:r w:rsidR="00254D43">
        <w:rPr>
          <w:rFonts w:ascii="Garamond" w:hAnsi="Garamond"/>
          <w:color w:val="000000" w:themeColor="text1"/>
          <w:sz w:val="22"/>
          <w:szCs w:val="22"/>
        </w:rPr>
        <w:t xml:space="preserve"> possible </w:t>
      </w:r>
      <w:r w:rsidR="000F7ED3">
        <w:rPr>
          <w:rFonts w:ascii="Garamond" w:hAnsi="Garamond"/>
          <w:color w:val="000000" w:themeColor="text1"/>
          <w:sz w:val="22"/>
          <w:szCs w:val="22"/>
        </w:rPr>
        <w:t>interpretation</w:t>
      </w:r>
      <w:r w:rsidR="004137D0">
        <w:rPr>
          <w:rFonts w:ascii="Garamond" w:hAnsi="Garamond"/>
          <w:color w:val="000000" w:themeColor="text1"/>
          <w:sz w:val="22"/>
          <w:szCs w:val="22"/>
        </w:rPr>
        <w:t xml:space="preserve"> (which is as much as the BMA could plausibly dilute it before having to accept that they have abandoned it entirely)</w:t>
      </w:r>
      <w:r w:rsidR="000F7ED3">
        <w:rPr>
          <w:rFonts w:ascii="Garamond" w:hAnsi="Garamond"/>
          <w:color w:val="000000" w:themeColor="text1"/>
          <w:sz w:val="22"/>
          <w:szCs w:val="22"/>
        </w:rPr>
        <w:t xml:space="preserve"> </w:t>
      </w:r>
      <w:r w:rsidRPr="00020341">
        <w:rPr>
          <w:rFonts w:ascii="Garamond" w:hAnsi="Garamond"/>
          <w:color w:val="000000" w:themeColor="text1"/>
          <w:sz w:val="22"/>
          <w:szCs w:val="22"/>
        </w:rPr>
        <w:t>precludes</w:t>
      </w:r>
      <w:r w:rsidR="00D966A4">
        <w:rPr>
          <w:rFonts w:ascii="Garamond" w:hAnsi="Garamond"/>
          <w:color w:val="000000" w:themeColor="text1"/>
          <w:sz w:val="22"/>
          <w:szCs w:val="22"/>
        </w:rPr>
        <w:t xml:space="preserve"> using persons as instruments of our own ends unless they choose freely to be used in this way</w:t>
      </w:r>
      <w:r w:rsidR="00771742">
        <w:rPr>
          <w:rFonts w:ascii="Garamond" w:hAnsi="Garamond"/>
          <w:color w:val="000000" w:themeColor="text1"/>
          <w:sz w:val="22"/>
          <w:szCs w:val="22"/>
        </w:rPr>
        <w:t xml:space="preserve"> [16]</w:t>
      </w:r>
      <w:r w:rsidRPr="00020341">
        <w:rPr>
          <w:rFonts w:ascii="Garamond" w:hAnsi="Garamond"/>
          <w:color w:val="000000" w:themeColor="text1"/>
          <w:sz w:val="22"/>
          <w:szCs w:val="22"/>
        </w:rPr>
        <w:t>. At its core it is an injunction against a kind of exploitation – no matter how laudable our ends, we cannot permissibly treat people’s lives as mere resources</w:t>
      </w:r>
      <w:r w:rsidR="00020341">
        <w:rPr>
          <w:rFonts w:ascii="Garamond" w:hAnsi="Garamond"/>
          <w:color w:val="000000" w:themeColor="text1"/>
          <w:sz w:val="22"/>
          <w:szCs w:val="22"/>
        </w:rPr>
        <w:t>,</w:t>
      </w:r>
      <w:r w:rsidR="002A0CF8">
        <w:rPr>
          <w:rFonts w:ascii="Garamond" w:hAnsi="Garamond"/>
          <w:color w:val="000000" w:themeColor="text1"/>
          <w:sz w:val="22"/>
          <w:szCs w:val="22"/>
        </w:rPr>
        <w:t xml:space="preserve"> instruments,</w:t>
      </w:r>
      <w:r w:rsidR="00020341">
        <w:rPr>
          <w:rFonts w:ascii="Garamond" w:hAnsi="Garamond"/>
          <w:color w:val="000000" w:themeColor="text1"/>
          <w:sz w:val="22"/>
          <w:szCs w:val="22"/>
        </w:rPr>
        <w:t xml:space="preserve"> </w:t>
      </w:r>
      <w:r w:rsidR="004137D0">
        <w:rPr>
          <w:rFonts w:ascii="Garamond" w:hAnsi="Garamond"/>
          <w:color w:val="000000" w:themeColor="text1"/>
          <w:sz w:val="22"/>
          <w:szCs w:val="22"/>
        </w:rPr>
        <w:t xml:space="preserve">or </w:t>
      </w:r>
      <w:r w:rsidR="00020341">
        <w:rPr>
          <w:rFonts w:ascii="Garamond" w:hAnsi="Garamond"/>
          <w:color w:val="000000" w:themeColor="text1"/>
          <w:sz w:val="22"/>
          <w:szCs w:val="22"/>
        </w:rPr>
        <w:t>“simply as a means”</w:t>
      </w:r>
      <w:r w:rsidR="00771742">
        <w:rPr>
          <w:rFonts w:ascii="Garamond" w:hAnsi="Garamond"/>
          <w:color w:val="000000" w:themeColor="text1"/>
          <w:sz w:val="22"/>
          <w:szCs w:val="22"/>
        </w:rPr>
        <w:t xml:space="preserve"> [17]</w:t>
      </w:r>
      <w:r w:rsidR="00020341">
        <w:rPr>
          <w:rFonts w:ascii="Garamond" w:hAnsi="Garamond"/>
          <w:color w:val="000000" w:themeColor="text1"/>
          <w:sz w:val="22"/>
          <w:szCs w:val="22"/>
        </w:rPr>
        <w:t>,</w:t>
      </w:r>
      <w:r w:rsidRPr="00020341">
        <w:rPr>
          <w:rFonts w:ascii="Garamond" w:hAnsi="Garamond"/>
          <w:color w:val="000000" w:themeColor="text1"/>
          <w:sz w:val="22"/>
          <w:szCs w:val="22"/>
        </w:rPr>
        <w:t xml:space="preserve"> to expend in our pursuit of </w:t>
      </w:r>
      <w:r w:rsidR="000F7ED3">
        <w:rPr>
          <w:rFonts w:ascii="Garamond" w:hAnsi="Garamond"/>
          <w:color w:val="000000" w:themeColor="text1"/>
          <w:sz w:val="22"/>
          <w:szCs w:val="22"/>
        </w:rPr>
        <w:t>personal or collective</w:t>
      </w:r>
      <w:r w:rsidRPr="00020341">
        <w:rPr>
          <w:rFonts w:ascii="Garamond" w:hAnsi="Garamond"/>
          <w:color w:val="000000" w:themeColor="text1"/>
          <w:sz w:val="22"/>
          <w:szCs w:val="22"/>
        </w:rPr>
        <w:t xml:space="preserve"> </w:t>
      </w:r>
      <w:r w:rsidR="000F7ED3">
        <w:rPr>
          <w:rFonts w:ascii="Garamond" w:hAnsi="Garamond"/>
          <w:color w:val="000000" w:themeColor="text1"/>
          <w:sz w:val="22"/>
          <w:szCs w:val="22"/>
        </w:rPr>
        <w:t>goods.</w:t>
      </w:r>
      <w:r w:rsidR="002A0CF8">
        <w:rPr>
          <w:rFonts w:ascii="Garamond" w:hAnsi="Garamond"/>
          <w:color w:val="000000" w:themeColor="text1"/>
          <w:sz w:val="22"/>
          <w:szCs w:val="22"/>
        </w:rPr>
        <w:t xml:space="preserve"> </w:t>
      </w:r>
      <w:r w:rsidR="00EF5CDE">
        <w:rPr>
          <w:rFonts w:ascii="Garamond" w:hAnsi="Garamond"/>
          <w:color w:val="000000" w:themeColor="text1"/>
          <w:sz w:val="22"/>
          <w:szCs w:val="22"/>
        </w:rPr>
        <w:t xml:space="preserve">To do otherwise is not simply to attach too </w:t>
      </w:r>
      <w:r w:rsidR="00EF5CDE">
        <w:rPr>
          <w:rFonts w:ascii="Garamond" w:hAnsi="Garamond"/>
          <w:i/>
          <w:iCs/>
          <w:color w:val="000000" w:themeColor="text1"/>
          <w:sz w:val="22"/>
          <w:szCs w:val="22"/>
        </w:rPr>
        <w:t xml:space="preserve">little </w:t>
      </w:r>
      <w:r w:rsidR="00EF5CDE">
        <w:rPr>
          <w:rFonts w:ascii="Garamond" w:hAnsi="Garamond"/>
          <w:color w:val="000000" w:themeColor="text1"/>
          <w:sz w:val="22"/>
          <w:szCs w:val="22"/>
        </w:rPr>
        <w:t xml:space="preserve">value to life and personhood (though it is that), it is rather to attach the </w:t>
      </w:r>
      <w:r w:rsidR="00EF5CDE">
        <w:rPr>
          <w:rFonts w:ascii="Garamond" w:hAnsi="Garamond"/>
          <w:i/>
          <w:iCs/>
          <w:color w:val="000000" w:themeColor="text1"/>
          <w:sz w:val="22"/>
          <w:szCs w:val="22"/>
        </w:rPr>
        <w:t xml:space="preserve">wrong kind </w:t>
      </w:r>
      <w:r w:rsidR="00EF5CDE">
        <w:rPr>
          <w:rFonts w:ascii="Garamond" w:hAnsi="Garamond"/>
          <w:color w:val="000000" w:themeColor="text1"/>
          <w:sz w:val="22"/>
          <w:szCs w:val="22"/>
        </w:rPr>
        <w:t>of value to life; instrumental as opposed to intrinsic.</w:t>
      </w:r>
    </w:p>
    <w:p w14:paraId="1650A7B1" w14:textId="2B14B53B" w:rsidR="002A0CF8" w:rsidRDefault="000F7ED3" w:rsidP="002A0CF8">
      <w:pPr>
        <w:spacing w:after="80" w:line="276" w:lineRule="auto"/>
        <w:rPr>
          <w:rFonts w:ascii="Garamond" w:hAnsi="Garamond"/>
          <w:color w:val="000000" w:themeColor="text1"/>
          <w:sz w:val="22"/>
          <w:szCs w:val="22"/>
        </w:rPr>
      </w:pPr>
      <w:r>
        <w:rPr>
          <w:rFonts w:ascii="Garamond" w:hAnsi="Garamond"/>
          <w:color w:val="000000" w:themeColor="text1"/>
          <w:sz w:val="22"/>
          <w:szCs w:val="22"/>
        </w:rPr>
        <w:t>This principle rules out rationing decisions on the basis of capacity to benefit quickly.</w:t>
      </w:r>
      <w:r w:rsidR="00563D3A">
        <w:rPr>
          <w:rFonts w:ascii="Garamond" w:hAnsi="Garamond"/>
          <w:color w:val="000000" w:themeColor="text1"/>
          <w:sz w:val="22"/>
          <w:szCs w:val="22"/>
        </w:rPr>
        <w:t xml:space="preserve"> If someone in a dangerous condition falls below a certain threshold of capacity to benefit quickly, but nevertheless has </w:t>
      </w:r>
      <w:r w:rsidR="00FC103B">
        <w:rPr>
          <w:rFonts w:ascii="Garamond" w:hAnsi="Garamond"/>
          <w:color w:val="000000" w:themeColor="text1"/>
          <w:sz w:val="22"/>
          <w:szCs w:val="22"/>
        </w:rPr>
        <w:t>a significant</w:t>
      </w:r>
      <w:r w:rsidR="00563D3A">
        <w:rPr>
          <w:rFonts w:ascii="Garamond" w:hAnsi="Garamond"/>
          <w:color w:val="000000" w:themeColor="text1"/>
          <w:sz w:val="22"/>
          <w:szCs w:val="22"/>
        </w:rPr>
        <w:t xml:space="preserve"> chance of benefitting from available resources, then refusing care amounts to </w:t>
      </w:r>
      <w:r w:rsidR="00D60810">
        <w:rPr>
          <w:rFonts w:ascii="Garamond" w:hAnsi="Garamond"/>
          <w:color w:val="000000" w:themeColor="text1"/>
          <w:sz w:val="22"/>
          <w:szCs w:val="22"/>
        </w:rPr>
        <w:t xml:space="preserve">knowingly </w:t>
      </w:r>
      <w:r w:rsidR="00563D3A">
        <w:rPr>
          <w:rFonts w:ascii="Garamond" w:hAnsi="Garamond"/>
          <w:color w:val="000000" w:themeColor="text1"/>
          <w:sz w:val="22"/>
          <w:szCs w:val="22"/>
        </w:rPr>
        <w:t>using their death as a means to protect others. It fails to treat them with the basic respect owed to persons, who</w:t>
      </w:r>
      <w:r w:rsidR="00FC103B">
        <w:rPr>
          <w:rFonts w:ascii="Garamond" w:hAnsi="Garamond"/>
          <w:color w:val="000000" w:themeColor="text1"/>
          <w:sz w:val="22"/>
          <w:szCs w:val="22"/>
        </w:rPr>
        <w:t>se lives</w:t>
      </w:r>
      <w:r w:rsidR="00563D3A">
        <w:rPr>
          <w:rFonts w:ascii="Garamond" w:hAnsi="Garamond"/>
          <w:color w:val="000000" w:themeColor="text1"/>
          <w:sz w:val="22"/>
          <w:szCs w:val="22"/>
        </w:rPr>
        <w:t xml:space="preserve"> cannot permissibly </w:t>
      </w:r>
      <w:r w:rsidR="00FC103B">
        <w:rPr>
          <w:rFonts w:ascii="Garamond" w:hAnsi="Garamond"/>
          <w:color w:val="000000" w:themeColor="text1"/>
          <w:sz w:val="22"/>
          <w:szCs w:val="22"/>
        </w:rPr>
        <w:t>be exploited as</w:t>
      </w:r>
      <w:r w:rsidR="00563D3A">
        <w:rPr>
          <w:rFonts w:ascii="Garamond" w:hAnsi="Garamond"/>
          <w:color w:val="000000" w:themeColor="text1"/>
          <w:sz w:val="22"/>
          <w:szCs w:val="22"/>
        </w:rPr>
        <w:t xml:space="preserve"> a mere tool to achieve some goal, however laudable we may believe that goal to be. Since these decisions are disproportionately made with regard to those with prospect-altering disabilities, </w:t>
      </w:r>
      <w:r w:rsidR="002A0CF8">
        <w:rPr>
          <w:rFonts w:ascii="Garamond" w:hAnsi="Garamond"/>
          <w:color w:val="000000" w:themeColor="text1"/>
          <w:sz w:val="22"/>
          <w:szCs w:val="22"/>
        </w:rPr>
        <w:t>they</w:t>
      </w:r>
      <w:r w:rsidR="00563D3A">
        <w:rPr>
          <w:rFonts w:ascii="Garamond" w:hAnsi="Garamond"/>
          <w:color w:val="000000" w:themeColor="text1"/>
          <w:sz w:val="22"/>
          <w:szCs w:val="22"/>
        </w:rPr>
        <w:t xml:space="preserve"> fail to treat that </w:t>
      </w:r>
      <w:r w:rsidR="002A0CF8" w:rsidRPr="00D05351">
        <w:rPr>
          <w:rFonts w:ascii="Garamond" w:hAnsi="Garamond"/>
          <w:i/>
          <w:iCs/>
          <w:color w:val="000000" w:themeColor="text1"/>
          <w:sz w:val="22"/>
          <w:szCs w:val="22"/>
        </w:rPr>
        <w:t>entire</w:t>
      </w:r>
      <w:r w:rsidR="00563D3A" w:rsidRPr="00D05351">
        <w:rPr>
          <w:rFonts w:ascii="Garamond" w:hAnsi="Garamond"/>
          <w:i/>
          <w:iCs/>
          <w:color w:val="000000" w:themeColor="text1"/>
          <w:sz w:val="22"/>
          <w:szCs w:val="22"/>
        </w:rPr>
        <w:t xml:space="preserve"> group</w:t>
      </w:r>
      <w:r w:rsidR="00563D3A">
        <w:rPr>
          <w:rFonts w:ascii="Garamond" w:hAnsi="Garamond"/>
          <w:color w:val="000000" w:themeColor="text1"/>
          <w:sz w:val="22"/>
          <w:szCs w:val="22"/>
        </w:rPr>
        <w:t xml:space="preserve"> with that same basic respect. </w:t>
      </w:r>
    </w:p>
    <w:p w14:paraId="5972CFF6" w14:textId="126CC4EE" w:rsidR="004137D0" w:rsidRDefault="00563D3A" w:rsidP="00E84C64">
      <w:pPr>
        <w:spacing w:after="80" w:line="276" w:lineRule="auto"/>
        <w:rPr>
          <w:rFonts w:ascii="Garamond" w:hAnsi="Garamond"/>
          <w:color w:val="000000" w:themeColor="text1"/>
          <w:sz w:val="22"/>
          <w:szCs w:val="22"/>
        </w:rPr>
      </w:pPr>
      <w:r>
        <w:rPr>
          <w:rFonts w:ascii="Garamond" w:hAnsi="Garamond"/>
          <w:color w:val="000000" w:themeColor="text1"/>
          <w:sz w:val="22"/>
          <w:szCs w:val="22"/>
        </w:rPr>
        <w:t>Disproportionately treating those with prospect-altering disabilities without that basic respect does not merely amount to serious (</w:t>
      </w:r>
      <w:r w:rsidR="0024369A">
        <w:rPr>
          <w:rFonts w:ascii="Garamond" w:hAnsi="Garamond"/>
          <w:color w:val="000000" w:themeColor="text1"/>
          <w:sz w:val="22"/>
          <w:szCs w:val="22"/>
        </w:rPr>
        <w:t>albeit, assuming a suitable decision-procedure for establishing capacity to benefit quickly,</w:t>
      </w:r>
      <w:r>
        <w:rPr>
          <w:rFonts w:ascii="Garamond" w:hAnsi="Garamond"/>
          <w:color w:val="000000" w:themeColor="text1"/>
          <w:sz w:val="22"/>
          <w:szCs w:val="22"/>
        </w:rPr>
        <w:t xml:space="preserve"> indirect) discrimination</w:t>
      </w:r>
      <w:r w:rsidR="00744BD2">
        <w:rPr>
          <w:rFonts w:ascii="Garamond" w:hAnsi="Garamond"/>
          <w:color w:val="000000" w:themeColor="text1"/>
          <w:sz w:val="22"/>
          <w:szCs w:val="22"/>
        </w:rPr>
        <w:t>.</w:t>
      </w:r>
      <w:r>
        <w:rPr>
          <w:rFonts w:ascii="Garamond" w:hAnsi="Garamond"/>
          <w:color w:val="000000" w:themeColor="text1"/>
          <w:sz w:val="22"/>
          <w:szCs w:val="22"/>
        </w:rPr>
        <w:t xml:space="preserve"> </w:t>
      </w:r>
      <w:r w:rsidR="00744BD2">
        <w:rPr>
          <w:rFonts w:ascii="Garamond" w:hAnsi="Garamond"/>
          <w:color w:val="000000" w:themeColor="text1"/>
          <w:sz w:val="22"/>
          <w:szCs w:val="22"/>
        </w:rPr>
        <w:t>I</w:t>
      </w:r>
      <w:r>
        <w:rPr>
          <w:rFonts w:ascii="Garamond" w:hAnsi="Garamond"/>
          <w:color w:val="000000" w:themeColor="text1"/>
          <w:sz w:val="22"/>
          <w:szCs w:val="22"/>
        </w:rPr>
        <w:t>t</w:t>
      </w:r>
      <w:r w:rsidR="00744BD2">
        <w:rPr>
          <w:rFonts w:ascii="Garamond" w:hAnsi="Garamond"/>
          <w:color w:val="000000" w:themeColor="text1"/>
          <w:sz w:val="22"/>
          <w:szCs w:val="22"/>
        </w:rPr>
        <w:t xml:space="preserve"> also</w:t>
      </w:r>
      <w:r>
        <w:rPr>
          <w:rFonts w:ascii="Garamond" w:hAnsi="Garamond"/>
          <w:color w:val="000000" w:themeColor="text1"/>
          <w:sz w:val="22"/>
          <w:szCs w:val="22"/>
        </w:rPr>
        <w:t xml:space="preserve"> amounts to a systematic devaluing of their lives, which are used as sacrifices </w:t>
      </w:r>
      <w:r w:rsidR="00FC103B">
        <w:rPr>
          <w:rFonts w:ascii="Garamond" w:hAnsi="Garamond"/>
          <w:color w:val="000000" w:themeColor="text1"/>
          <w:sz w:val="22"/>
          <w:szCs w:val="22"/>
        </w:rPr>
        <w:t>to a</w:t>
      </w:r>
      <w:r>
        <w:rPr>
          <w:rFonts w:ascii="Garamond" w:hAnsi="Garamond"/>
          <w:color w:val="000000" w:themeColor="text1"/>
          <w:sz w:val="22"/>
          <w:szCs w:val="22"/>
        </w:rPr>
        <w:t xml:space="preserve"> </w:t>
      </w:r>
      <w:r w:rsidR="00744BD2">
        <w:rPr>
          <w:rFonts w:ascii="Garamond" w:hAnsi="Garamond"/>
          <w:color w:val="000000" w:themeColor="text1"/>
          <w:sz w:val="22"/>
          <w:szCs w:val="22"/>
        </w:rPr>
        <w:t xml:space="preserve">perceived </w:t>
      </w:r>
      <w:r>
        <w:rPr>
          <w:rFonts w:ascii="Garamond" w:hAnsi="Garamond"/>
          <w:color w:val="000000" w:themeColor="text1"/>
          <w:sz w:val="22"/>
          <w:szCs w:val="22"/>
        </w:rPr>
        <w:t xml:space="preserve">‘greater good’. This </w:t>
      </w:r>
      <w:r w:rsidR="002A0CF8">
        <w:rPr>
          <w:rFonts w:ascii="Garamond" w:hAnsi="Garamond"/>
          <w:color w:val="000000" w:themeColor="text1"/>
          <w:sz w:val="22"/>
          <w:szCs w:val="22"/>
        </w:rPr>
        <w:t xml:space="preserve">situation has quite understandably led to accusations from those with prospect-altering </w:t>
      </w:r>
      <w:r w:rsidR="002A0CF8" w:rsidRPr="002A0CF8">
        <w:rPr>
          <w:rFonts w:ascii="Garamond" w:hAnsi="Garamond"/>
          <w:color w:val="000000" w:themeColor="text1"/>
          <w:sz w:val="22"/>
          <w:szCs w:val="22"/>
        </w:rPr>
        <w:t>disabilities that the state and various medical organisations are using this pandemic as an excuse to show their eugenicist colours</w:t>
      </w:r>
      <w:r w:rsidR="00771742">
        <w:rPr>
          <w:rFonts w:ascii="Garamond" w:hAnsi="Garamond"/>
          <w:color w:val="000000" w:themeColor="text1"/>
          <w:sz w:val="22"/>
          <w:szCs w:val="22"/>
        </w:rPr>
        <w:t xml:space="preserve"> [18, 19]</w:t>
      </w:r>
      <w:r w:rsidR="002A0CF8" w:rsidRPr="002A0CF8">
        <w:rPr>
          <w:rFonts w:ascii="Garamond" w:hAnsi="Garamond"/>
          <w:color w:val="000000" w:themeColor="text1"/>
          <w:sz w:val="22"/>
          <w:szCs w:val="22"/>
        </w:rPr>
        <w:t>.</w:t>
      </w:r>
      <w:r w:rsidR="002A0CF8">
        <w:rPr>
          <w:rFonts w:ascii="Garamond" w:hAnsi="Garamond"/>
          <w:color w:val="000000" w:themeColor="text1"/>
          <w:sz w:val="22"/>
          <w:szCs w:val="22"/>
        </w:rPr>
        <w:t xml:space="preserve"> These decisions are eugenicist in the sense that they systematically devalue the lives of those with prospect-altering disabilities from something with </w:t>
      </w:r>
      <w:r w:rsidR="002A0CF8" w:rsidRPr="00FC103B">
        <w:rPr>
          <w:rFonts w:ascii="Garamond" w:hAnsi="Garamond"/>
          <w:i/>
          <w:iCs/>
          <w:color w:val="000000" w:themeColor="text1"/>
          <w:sz w:val="22"/>
          <w:szCs w:val="22"/>
        </w:rPr>
        <w:t xml:space="preserve">intrinsic </w:t>
      </w:r>
      <w:r w:rsidR="002A0CF8">
        <w:rPr>
          <w:rFonts w:ascii="Garamond" w:hAnsi="Garamond"/>
          <w:color w:val="000000" w:themeColor="text1"/>
          <w:sz w:val="22"/>
          <w:szCs w:val="22"/>
        </w:rPr>
        <w:t xml:space="preserve">worth, to something with merely </w:t>
      </w:r>
      <w:r w:rsidR="002A0CF8" w:rsidRPr="00FC103B">
        <w:rPr>
          <w:rFonts w:ascii="Garamond" w:hAnsi="Garamond"/>
          <w:i/>
          <w:iCs/>
          <w:color w:val="000000" w:themeColor="text1"/>
          <w:sz w:val="22"/>
          <w:szCs w:val="22"/>
        </w:rPr>
        <w:t xml:space="preserve">instrumental </w:t>
      </w:r>
      <w:r w:rsidR="002A0CF8">
        <w:rPr>
          <w:rFonts w:ascii="Garamond" w:hAnsi="Garamond"/>
          <w:color w:val="000000" w:themeColor="text1"/>
          <w:sz w:val="22"/>
          <w:szCs w:val="22"/>
        </w:rPr>
        <w:t>worth</w:t>
      </w:r>
      <w:r w:rsidR="00D60810">
        <w:rPr>
          <w:rFonts w:ascii="Garamond" w:hAnsi="Garamond"/>
          <w:color w:val="000000" w:themeColor="text1"/>
          <w:sz w:val="22"/>
          <w:szCs w:val="22"/>
        </w:rPr>
        <w:t xml:space="preserve"> – worth that is balanced against the value of sacrificing it for ‘the greater good’</w:t>
      </w:r>
      <w:r w:rsidR="002A0CF8">
        <w:rPr>
          <w:rFonts w:ascii="Garamond" w:hAnsi="Garamond"/>
          <w:color w:val="000000" w:themeColor="text1"/>
          <w:sz w:val="22"/>
          <w:szCs w:val="22"/>
        </w:rPr>
        <w:t>.</w:t>
      </w:r>
    </w:p>
    <w:p w14:paraId="67BD4D00" w14:textId="132C8E23" w:rsidR="00687311" w:rsidRDefault="00744BD2" w:rsidP="00687311">
      <w:pPr>
        <w:spacing w:after="80" w:line="276" w:lineRule="auto"/>
        <w:rPr>
          <w:rFonts w:ascii="Garamond" w:hAnsi="Garamond"/>
          <w:color w:val="000000" w:themeColor="text1"/>
          <w:sz w:val="22"/>
          <w:szCs w:val="22"/>
        </w:rPr>
      </w:pPr>
      <w:r>
        <w:rPr>
          <w:rFonts w:ascii="Garamond" w:hAnsi="Garamond"/>
          <w:color w:val="000000" w:themeColor="text1"/>
          <w:sz w:val="22"/>
          <w:szCs w:val="22"/>
        </w:rPr>
        <w:t>Minimal triage</w:t>
      </w:r>
      <w:r w:rsidR="00771742">
        <w:rPr>
          <w:rFonts w:ascii="Garamond" w:hAnsi="Garamond"/>
          <w:color w:val="000000" w:themeColor="text1"/>
          <w:sz w:val="22"/>
          <w:szCs w:val="22"/>
        </w:rPr>
        <w:t xml:space="preserve"> [1]</w:t>
      </w:r>
      <w:r>
        <w:rPr>
          <w:rFonts w:ascii="Garamond" w:hAnsi="Garamond"/>
          <w:color w:val="000000" w:themeColor="text1"/>
          <w:sz w:val="22"/>
          <w:szCs w:val="22"/>
        </w:rPr>
        <w:t xml:space="preserve">, on the other hand, does not similarly violate the Principle of Humanity. If somebody cannot benefit </w:t>
      </w:r>
      <w:r w:rsidR="00592E89">
        <w:rPr>
          <w:rFonts w:ascii="Garamond" w:hAnsi="Garamond"/>
          <w:color w:val="000000" w:themeColor="text1"/>
          <w:sz w:val="22"/>
          <w:szCs w:val="22"/>
        </w:rPr>
        <w:t xml:space="preserve">at all </w:t>
      </w:r>
      <w:r>
        <w:rPr>
          <w:rFonts w:ascii="Garamond" w:hAnsi="Garamond"/>
          <w:color w:val="000000" w:themeColor="text1"/>
          <w:sz w:val="22"/>
          <w:szCs w:val="22"/>
        </w:rPr>
        <w:t xml:space="preserve">from </w:t>
      </w:r>
      <w:r w:rsidR="00592E89">
        <w:rPr>
          <w:rFonts w:ascii="Garamond" w:hAnsi="Garamond"/>
          <w:color w:val="000000" w:themeColor="text1"/>
          <w:sz w:val="22"/>
          <w:szCs w:val="22"/>
        </w:rPr>
        <w:t xml:space="preserve">a certain life-saving </w:t>
      </w:r>
      <w:r>
        <w:rPr>
          <w:rFonts w:ascii="Garamond" w:hAnsi="Garamond"/>
          <w:color w:val="000000" w:themeColor="text1"/>
          <w:sz w:val="22"/>
          <w:szCs w:val="22"/>
        </w:rPr>
        <w:t xml:space="preserve">treatment, then a decision to withhold </w:t>
      </w:r>
      <w:r w:rsidR="00592E89">
        <w:rPr>
          <w:rFonts w:ascii="Garamond" w:hAnsi="Garamond"/>
          <w:color w:val="000000" w:themeColor="text1"/>
          <w:sz w:val="22"/>
          <w:szCs w:val="22"/>
        </w:rPr>
        <w:t xml:space="preserve">that treatment </w:t>
      </w:r>
      <w:r>
        <w:rPr>
          <w:rFonts w:ascii="Garamond" w:hAnsi="Garamond"/>
          <w:color w:val="000000" w:themeColor="text1"/>
          <w:sz w:val="22"/>
          <w:szCs w:val="22"/>
        </w:rPr>
        <w:t>is not one t</w:t>
      </w:r>
      <w:r w:rsidR="00592E89">
        <w:rPr>
          <w:rFonts w:ascii="Garamond" w:hAnsi="Garamond"/>
          <w:color w:val="000000" w:themeColor="text1"/>
          <w:sz w:val="22"/>
          <w:szCs w:val="22"/>
        </w:rPr>
        <w:t>hat</w:t>
      </w:r>
      <w:r>
        <w:rPr>
          <w:rFonts w:ascii="Garamond" w:hAnsi="Garamond"/>
          <w:color w:val="000000" w:themeColor="text1"/>
          <w:sz w:val="22"/>
          <w:szCs w:val="22"/>
        </w:rPr>
        <w:t xml:space="preserve"> use</w:t>
      </w:r>
      <w:r w:rsidR="00592E89">
        <w:rPr>
          <w:rFonts w:ascii="Garamond" w:hAnsi="Garamond"/>
          <w:color w:val="000000" w:themeColor="text1"/>
          <w:sz w:val="22"/>
          <w:szCs w:val="22"/>
        </w:rPr>
        <w:t>s</w:t>
      </w:r>
      <w:r>
        <w:rPr>
          <w:rFonts w:ascii="Garamond" w:hAnsi="Garamond"/>
          <w:color w:val="000000" w:themeColor="text1"/>
          <w:sz w:val="22"/>
          <w:szCs w:val="22"/>
        </w:rPr>
        <w:t xml:space="preserve"> their death as a mere means to the end of protecting </w:t>
      </w:r>
      <w:proofErr w:type="gramStart"/>
      <w:r>
        <w:rPr>
          <w:rFonts w:ascii="Garamond" w:hAnsi="Garamond"/>
          <w:color w:val="000000" w:themeColor="text1"/>
          <w:sz w:val="22"/>
          <w:szCs w:val="22"/>
        </w:rPr>
        <w:t>others, but</w:t>
      </w:r>
      <w:proofErr w:type="gramEnd"/>
      <w:r>
        <w:rPr>
          <w:rFonts w:ascii="Garamond" w:hAnsi="Garamond"/>
          <w:color w:val="000000" w:themeColor="text1"/>
          <w:sz w:val="22"/>
          <w:szCs w:val="22"/>
        </w:rPr>
        <w:t xml:space="preserve"> </w:t>
      </w:r>
      <w:r w:rsidR="00592E89">
        <w:rPr>
          <w:rFonts w:ascii="Garamond" w:hAnsi="Garamond"/>
          <w:color w:val="000000" w:themeColor="text1"/>
          <w:sz w:val="22"/>
          <w:szCs w:val="22"/>
        </w:rPr>
        <w:t xml:space="preserve">is simply </w:t>
      </w:r>
      <w:r>
        <w:rPr>
          <w:rFonts w:ascii="Garamond" w:hAnsi="Garamond"/>
          <w:color w:val="000000" w:themeColor="text1"/>
          <w:sz w:val="22"/>
          <w:szCs w:val="22"/>
        </w:rPr>
        <w:t>an acknowledgment of futility</w:t>
      </w:r>
      <w:r w:rsidR="00592E89">
        <w:rPr>
          <w:rStyle w:val="FootnoteReference"/>
          <w:rFonts w:ascii="Garamond" w:hAnsi="Garamond"/>
          <w:color w:val="000000" w:themeColor="text1"/>
          <w:sz w:val="22"/>
          <w:szCs w:val="22"/>
        </w:rPr>
        <w:footnoteReference w:id="4"/>
      </w:r>
      <w:r w:rsidR="00592E89">
        <w:rPr>
          <w:rFonts w:ascii="Garamond" w:hAnsi="Garamond"/>
          <w:color w:val="000000" w:themeColor="text1"/>
          <w:sz w:val="22"/>
          <w:szCs w:val="22"/>
        </w:rPr>
        <w:t xml:space="preserve">. </w:t>
      </w:r>
      <w:r w:rsidR="00D60810">
        <w:rPr>
          <w:rFonts w:ascii="Garamond" w:hAnsi="Garamond"/>
          <w:color w:val="000000" w:themeColor="text1"/>
          <w:sz w:val="22"/>
          <w:szCs w:val="22"/>
        </w:rPr>
        <w:t>If someone’s</w:t>
      </w:r>
      <w:r w:rsidR="00592E89">
        <w:rPr>
          <w:rFonts w:ascii="Garamond" w:hAnsi="Garamond"/>
          <w:color w:val="000000" w:themeColor="text1"/>
          <w:sz w:val="22"/>
          <w:szCs w:val="22"/>
        </w:rPr>
        <w:t xml:space="preserve"> death</w:t>
      </w:r>
      <w:r w:rsidR="006E154D">
        <w:rPr>
          <w:rFonts w:ascii="Garamond" w:hAnsi="Garamond"/>
          <w:color w:val="000000" w:themeColor="text1"/>
          <w:sz w:val="22"/>
          <w:szCs w:val="22"/>
        </w:rPr>
        <w:t xml:space="preserve"> is unavoidable, </w:t>
      </w:r>
      <w:r w:rsidR="00D60810">
        <w:rPr>
          <w:rFonts w:ascii="Garamond" w:hAnsi="Garamond"/>
          <w:color w:val="000000" w:themeColor="text1"/>
          <w:sz w:val="22"/>
          <w:szCs w:val="22"/>
        </w:rPr>
        <w:t xml:space="preserve">then </w:t>
      </w:r>
      <w:r w:rsidR="006E154D">
        <w:rPr>
          <w:rFonts w:ascii="Garamond" w:hAnsi="Garamond"/>
          <w:color w:val="000000" w:themeColor="text1"/>
          <w:sz w:val="22"/>
          <w:szCs w:val="22"/>
        </w:rPr>
        <w:t>refusing</w:t>
      </w:r>
      <w:r w:rsidR="00E8763E">
        <w:rPr>
          <w:rFonts w:ascii="Garamond" w:hAnsi="Garamond"/>
          <w:color w:val="000000" w:themeColor="text1"/>
          <w:sz w:val="22"/>
          <w:szCs w:val="22"/>
        </w:rPr>
        <w:t xml:space="preserve"> </w:t>
      </w:r>
      <w:r w:rsidR="00D60810">
        <w:rPr>
          <w:rFonts w:ascii="Garamond" w:hAnsi="Garamond"/>
          <w:color w:val="000000" w:themeColor="text1"/>
          <w:sz w:val="22"/>
          <w:szCs w:val="22"/>
        </w:rPr>
        <w:t>them</w:t>
      </w:r>
      <w:r w:rsidR="006E154D">
        <w:rPr>
          <w:rFonts w:ascii="Garamond" w:hAnsi="Garamond"/>
          <w:color w:val="000000" w:themeColor="text1"/>
          <w:sz w:val="22"/>
          <w:szCs w:val="22"/>
        </w:rPr>
        <w:t xml:space="preserve"> </w:t>
      </w:r>
      <w:proofErr w:type="gramStart"/>
      <w:r w:rsidR="007B1BCC">
        <w:rPr>
          <w:rFonts w:ascii="Garamond" w:hAnsi="Garamond"/>
          <w:color w:val="000000" w:themeColor="text1"/>
          <w:sz w:val="22"/>
          <w:szCs w:val="22"/>
        </w:rPr>
        <w:t>life-saving</w:t>
      </w:r>
      <w:proofErr w:type="gramEnd"/>
      <w:r w:rsidR="007B1BCC">
        <w:rPr>
          <w:rFonts w:ascii="Garamond" w:hAnsi="Garamond"/>
          <w:color w:val="000000" w:themeColor="text1"/>
          <w:sz w:val="22"/>
          <w:szCs w:val="22"/>
        </w:rPr>
        <w:t xml:space="preserve"> (as opposed to palliative) </w:t>
      </w:r>
      <w:r w:rsidR="006E154D">
        <w:rPr>
          <w:rFonts w:ascii="Garamond" w:hAnsi="Garamond"/>
          <w:color w:val="000000" w:themeColor="text1"/>
          <w:sz w:val="22"/>
          <w:szCs w:val="22"/>
        </w:rPr>
        <w:t xml:space="preserve">treatment is not an attempt to leverage </w:t>
      </w:r>
      <w:r w:rsidR="00D60810">
        <w:rPr>
          <w:rFonts w:ascii="Garamond" w:hAnsi="Garamond"/>
          <w:color w:val="000000" w:themeColor="text1"/>
          <w:sz w:val="22"/>
          <w:szCs w:val="22"/>
        </w:rPr>
        <w:t>their life</w:t>
      </w:r>
      <w:r w:rsidR="006E154D">
        <w:rPr>
          <w:rFonts w:ascii="Garamond" w:hAnsi="Garamond"/>
          <w:color w:val="000000" w:themeColor="text1"/>
          <w:sz w:val="22"/>
          <w:szCs w:val="22"/>
        </w:rPr>
        <w:t xml:space="preserve"> in the service of some aim or goal that the</w:t>
      </w:r>
      <w:r w:rsidR="00FC103B">
        <w:rPr>
          <w:rFonts w:ascii="Garamond" w:hAnsi="Garamond"/>
          <w:color w:val="000000" w:themeColor="text1"/>
          <w:sz w:val="22"/>
          <w:szCs w:val="22"/>
        </w:rPr>
        <w:t xml:space="preserve"> care-provider may</w:t>
      </w:r>
      <w:r w:rsidR="006E154D">
        <w:rPr>
          <w:rFonts w:ascii="Garamond" w:hAnsi="Garamond"/>
          <w:color w:val="000000" w:themeColor="text1"/>
          <w:sz w:val="22"/>
          <w:szCs w:val="22"/>
        </w:rPr>
        <w:t xml:space="preserve"> have, but an acknowledgment of the reality of the situation. Where benefit is possible, however, all lives must be treated with the same basic respect owed to </w:t>
      </w:r>
      <w:r w:rsidR="00D60810" w:rsidRPr="00D60810">
        <w:rPr>
          <w:rFonts w:ascii="Garamond" w:hAnsi="Garamond"/>
          <w:i/>
          <w:iCs/>
          <w:color w:val="000000" w:themeColor="text1"/>
          <w:sz w:val="22"/>
          <w:szCs w:val="22"/>
        </w:rPr>
        <w:t>all</w:t>
      </w:r>
      <w:r w:rsidR="00D60810">
        <w:rPr>
          <w:rFonts w:ascii="Garamond" w:hAnsi="Garamond"/>
          <w:color w:val="000000" w:themeColor="text1"/>
          <w:sz w:val="22"/>
          <w:szCs w:val="22"/>
        </w:rPr>
        <w:t xml:space="preserve"> </w:t>
      </w:r>
      <w:r w:rsidR="006E154D">
        <w:rPr>
          <w:rFonts w:ascii="Garamond" w:hAnsi="Garamond"/>
          <w:color w:val="000000" w:themeColor="text1"/>
          <w:sz w:val="22"/>
          <w:szCs w:val="22"/>
        </w:rPr>
        <w:t>persons. Where resources are insufficient to ensure benefit to everybody, random allocation or lottery is the only reasonable method of deciding</w:t>
      </w:r>
      <w:r w:rsidR="00E8763E">
        <w:rPr>
          <w:rFonts w:ascii="Garamond" w:hAnsi="Garamond"/>
          <w:color w:val="000000" w:themeColor="text1"/>
          <w:sz w:val="22"/>
          <w:szCs w:val="22"/>
        </w:rPr>
        <w:t xml:space="preserve"> who receives care and who does not</w:t>
      </w:r>
      <w:r w:rsidR="006E154D">
        <w:rPr>
          <w:rFonts w:ascii="Garamond" w:hAnsi="Garamond"/>
          <w:color w:val="000000" w:themeColor="text1"/>
          <w:sz w:val="22"/>
          <w:szCs w:val="22"/>
        </w:rPr>
        <w:t xml:space="preserve">, since it is the only method that does </w:t>
      </w:r>
      <w:r w:rsidR="006E154D">
        <w:rPr>
          <w:rFonts w:ascii="Garamond" w:hAnsi="Garamond"/>
          <w:color w:val="000000" w:themeColor="text1"/>
          <w:sz w:val="22"/>
          <w:szCs w:val="22"/>
        </w:rPr>
        <w:lastRenderedPageBreak/>
        <w:t>not use particular individuals’ deaths as a mere means to achieve some higher goal. Nobody is thereby instrumentalised, because everybody who could possibly benefit had an equal chance of doing so.</w:t>
      </w:r>
    </w:p>
    <w:p w14:paraId="3FBB1737" w14:textId="51B76F69" w:rsidR="00D93837" w:rsidRDefault="00D93837" w:rsidP="00D93837">
      <w:pPr>
        <w:spacing w:after="80" w:line="276" w:lineRule="auto"/>
        <w:rPr>
          <w:rFonts w:ascii="Garamond" w:hAnsi="Garamond"/>
          <w:color w:val="000000" w:themeColor="text1"/>
          <w:sz w:val="22"/>
          <w:szCs w:val="22"/>
        </w:rPr>
      </w:pPr>
      <w:r>
        <w:rPr>
          <w:rFonts w:ascii="Garamond" w:hAnsi="Garamond"/>
          <w:color w:val="000000" w:themeColor="text1"/>
          <w:sz w:val="22"/>
          <w:szCs w:val="22"/>
        </w:rPr>
        <w:t>In pandemics, those with prospect-altering disabilities are put at significantly greater risk of</w:t>
      </w:r>
      <w:r w:rsidR="0075696F">
        <w:rPr>
          <w:rFonts w:ascii="Garamond" w:hAnsi="Garamond"/>
          <w:color w:val="000000" w:themeColor="text1"/>
          <w:sz w:val="22"/>
          <w:szCs w:val="22"/>
        </w:rPr>
        <w:t xml:space="preserve"> s</w:t>
      </w:r>
      <w:r>
        <w:rPr>
          <w:rFonts w:ascii="Garamond" w:hAnsi="Garamond"/>
          <w:color w:val="000000" w:themeColor="text1"/>
          <w:sz w:val="22"/>
          <w:szCs w:val="22"/>
        </w:rPr>
        <w:t xml:space="preserve">erious morbidity or death than the general population for a wide variety of reasons, some biological (they are physically more vulnerable to serious infection and attendant complications), and </w:t>
      </w:r>
      <w:r w:rsidR="00E8763E">
        <w:rPr>
          <w:rFonts w:ascii="Garamond" w:hAnsi="Garamond"/>
          <w:color w:val="000000" w:themeColor="text1"/>
          <w:sz w:val="22"/>
          <w:szCs w:val="22"/>
        </w:rPr>
        <w:t>many</w:t>
      </w:r>
      <w:r>
        <w:rPr>
          <w:rFonts w:ascii="Garamond" w:hAnsi="Garamond"/>
          <w:color w:val="000000" w:themeColor="text1"/>
          <w:sz w:val="22"/>
          <w:szCs w:val="22"/>
        </w:rPr>
        <w:t xml:space="preserve"> social (e.g. they disproportionately experience poor, cramped living situations, and struggle to meet basic needs, especially under quarantine, due to </w:t>
      </w:r>
      <w:r w:rsidR="0075696F">
        <w:rPr>
          <w:rFonts w:ascii="Garamond" w:hAnsi="Garamond"/>
          <w:color w:val="000000" w:themeColor="text1"/>
          <w:sz w:val="22"/>
          <w:szCs w:val="22"/>
        </w:rPr>
        <w:t xml:space="preserve">the </w:t>
      </w:r>
      <w:r>
        <w:rPr>
          <w:rFonts w:ascii="Garamond" w:hAnsi="Garamond"/>
          <w:color w:val="000000" w:themeColor="text1"/>
          <w:sz w:val="22"/>
          <w:szCs w:val="22"/>
        </w:rPr>
        <w:t>inaccessibility of various services</w:t>
      </w:r>
      <w:r w:rsidR="0075696F">
        <w:rPr>
          <w:rFonts w:ascii="Garamond" w:hAnsi="Garamond"/>
          <w:color w:val="000000" w:themeColor="text1"/>
          <w:sz w:val="22"/>
          <w:szCs w:val="22"/>
        </w:rPr>
        <w:t xml:space="preserve">). </w:t>
      </w:r>
      <w:r>
        <w:rPr>
          <w:rFonts w:ascii="Garamond" w:hAnsi="Garamond"/>
          <w:color w:val="000000" w:themeColor="text1"/>
          <w:sz w:val="22"/>
          <w:szCs w:val="22"/>
        </w:rPr>
        <w:t xml:space="preserve">They are also largely disenfranchised from the </w:t>
      </w:r>
      <w:r w:rsidR="0075696F">
        <w:rPr>
          <w:rFonts w:ascii="Garamond" w:hAnsi="Garamond"/>
          <w:color w:val="000000" w:themeColor="text1"/>
          <w:sz w:val="22"/>
          <w:szCs w:val="22"/>
        </w:rPr>
        <w:t xml:space="preserve">healthcare policy </w:t>
      </w:r>
      <w:r>
        <w:rPr>
          <w:rFonts w:ascii="Garamond" w:hAnsi="Garamond"/>
          <w:color w:val="000000" w:themeColor="text1"/>
          <w:sz w:val="22"/>
          <w:szCs w:val="22"/>
        </w:rPr>
        <w:t>decisions that, in part, led to the acute scarcity of certain life-saving resources in the first place</w:t>
      </w:r>
      <w:r w:rsidR="00771742">
        <w:rPr>
          <w:rFonts w:ascii="Garamond" w:hAnsi="Garamond"/>
          <w:color w:val="000000" w:themeColor="text1"/>
          <w:sz w:val="22"/>
          <w:szCs w:val="22"/>
        </w:rPr>
        <w:t xml:space="preserve"> [1]</w:t>
      </w:r>
      <w:r>
        <w:rPr>
          <w:rFonts w:ascii="Garamond" w:hAnsi="Garamond"/>
          <w:color w:val="000000" w:themeColor="text1"/>
          <w:sz w:val="22"/>
          <w:szCs w:val="22"/>
        </w:rPr>
        <w:t xml:space="preserve">. </w:t>
      </w:r>
      <w:r w:rsidR="00901BC2">
        <w:rPr>
          <w:rFonts w:ascii="Garamond" w:hAnsi="Garamond"/>
          <w:color w:val="000000" w:themeColor="text1"/>
          <w:sz w:val="22"/>
          <w:szCs w:val="22"/>
        </w:rPr>
        <w:t>Thus, a</w:t>
      </w:r>
      <w:r>
        <w:rPr>
          <w:rFonts w:ascii="Garamond" w:hAnsi="Garamond"/>
          <w:color w:val="000000" w:themeColor="text1"/>
          <w:sz w:val="22"/>
          <w:szCs w:val="22"/>
        </w:rPr>
        <w:t xml:space="preserve">s </w:t>
      </w:r>
      <w:proofErr w:type="spellStart"/>
      <w:r>
        <w:rPr>
          <w:rFonts w:ascii="Garamond" w:hAnsi="Garamond"/>
          <w:color w:val="000000" w:themeColor="text1"/>
          <w:sz w:val="22"/>
          <w:szCs w:val="22"/>
        </w:rPr>
        <w:t>Bagenstos</w:t>
      </w:r>
      <w:proofErr w:type="spellEnd"/>
      <w:r>
        <w:rPr>
          <w:rFonts w:ascii="Garamond" w:hAnsi="Garamond"/>
          <w:color w:val="000000" w:themeColor="text1"/>
          <w:sz w:val="22"/>
          <w:szCs w:val="22"/>
        </w:rPr>
        <w:t xml:space="preserve"> writes,</w:t>
      </w:r>
    </w:p>
    <w:p w14:paraId="5D2AC4F4" w14:textId="77777777" w:rsidR="00D93837" w:rsidRDefault="00D93837" w:rsidP="00D93837">
      <w:pPr>
        <w:spacing w:after="80" w:line="276" w:lineRule="auto"/>
        <w:rPr>
          <w:rFonts w:ascii="Garamond" w:hAnsi="Garamond"/>
          <w:color w:val="000000" w:themeColor="text1"/>
          <w:sz w:val="22"/>
          <w:szCs w:val="22"/>
        </w:rPr>
      </w:pPr>
    </w:p>
    <w:p w14:paraId="3882FB6B" w14:textId="74B899BD" w:rsidR="00D93837" w:rsidRDefault="00D93837" w:rsidP="008C7A8E">
      <w:pPr>
        <w:spacing w:after="80" w:line="276" w:lineRule="auto"/>
        <w:ind w:left="360"/>
        <w:rPr>
          <w:rFonts w:ascii="Garamond" w:hAnsi="Garamond"/>
          <w:sz w:val="22"/>
          <w:szCs w:val="22"/>
        </w:rPr>
      </w:pPr>
      <w:r w:rsidRPr="00D93837">
        <w:rPr>
          <w:rFonts w:ascii="Garamond" w:hAnsi="Garamond"/>
          <w:color w:val="000000" w:themeColor="text1"/>
          <w:sz w:val="22"/>
          <w:szCs w:val="22"/>
        </w:rPr>
        <w:t>…</w:t>
      </w:r>
      <w:r w:rsidRPr="00D93837">
        <w:rPr>
          <w:rFonts w:ascii="Garamond" w:hAnsi="Garamond"/>
          <w:sz w:val="22"/>
          <w:szCs w:val="22"/>
        </w:rPr>
        <w:t xml:space="preserve">requiring them to forgo life-saving treatment because of their groups’ poor life expectancy inflicts a kind of double jeopardy. </w:t>
      </w:r>
      <w:r>
        <w:rPr>
          <w:rFonts w:ascii="Garamond" w:hAnsi="Garamond"/>
          <w:sz w:val="22"/>
          <w:szCs w:val="22"/>
        </w:rPr>
        <w:t>(</w:t>
      </w:r>
      <w:r w:rsidR="005F4163">
        <w:rPr>
          <w:rFonts w:ascii="Garamond" w:hAnsi="Garamond"/>
          <w:sz w:val="22"/>
          <w:szCs w:val="22"/>
        </w:rPr>
        <w:t>forthcoming</w:t>
      </w:r>
      <w:r>
        <w:rPr>
          <w:rFonts w:ascii="Garamond" w:hAnsi="Garamond"/>
          <w:sz w:val="22"/>
          <w:szCs w:val="22"/>
        </w:rPr>
        <w:t>: 14)</w:t>
      </w:r>
      <w:r w:rsidR="00771742">
        <w:rPr>
          <w:rFonts w:ascii="Garamond" w:hAnsi="Garamond"/>
          <w:sz w:val="22"/>
          <w:szCs w:val="22"/>
        </w:rPr>
        <w:t xml:space="preserve"> [1]</w:t>
      </w:r>
    </w:p>
    <w:p w14:paraId="799B9C1F" w14:textId="61C15103" w:rsidR="008C7A8E" w:rsidRDefault="008C7A8E" w:rsidP="008C7A8E">
      <w:pPr>
        <w:spacing w:after="80" w:line="276" w:lineRule="auto"/>
        <w:rPr>
          <w:rFonts w:ascii="Garamond" w:hAnsi="Garamond"/>
          <w:sz w:val="22"/>
          <w:szCs w:val="22"/>
        </w:rPr>
      </w:pPr>
    </w:p>
    <w:p w14:paraId="78A4A774" w14:textId="5DC84132" w:rsidR="003C18EA" w:rsidRDefault="008C7A8E" w:rsidP="008340A3">
      <w:pPr>
        <w:spacing w:after="80" w:line="276" w:lineRule="auto"/>
        <w:rPr>
          <w:rFonts w:ascii="Garamond" w:hAnsi="Garamond"/>
          <w:sz w:val="22"/>
          <w:szCs w:val="22"/>
        </w:rPr>
      </w:pPr>
      <w:r>
        <w:rPr>
          <w:rFonts w:ascii="Garamond" w:hAnsi="Garamond"/>
          <w:sz w:val="22"/>
          <w:szCs w:val="22"/>
        </w:rPr>
        <w:t xml:space="preserve">In particular, it is a kind of double jeopardy that involves </w:t>
      </w:r>
      <w:r w:rsidR="00901BC2">
        <w:rPr>
          <w:rFonts w:ascii="Garamond" w:hAnsi="Garamond"/>
          <w:sz w:val="22"/>
          <w:szCs w:val="22"/>
        </w:rPr>
        <w:t>not simply treating their lives as having lesser value than those of others</w:t>
      </w:r>
      <w:r w:rsidR="0075696F">
        <w:rPr>
          <w:rFonts w:ascii="Garamond" w:hAnsi="Garamond"/>
          <w:sz w:val="22"/>
          <w:szCs w:val="22"/>
        </w:rPr>
        <w:t xml:space="preserve"> (which would be bad enough)</w:t>
      </w:r>
      <w:r w:rsidR="00901BC2">
        <w:rPr>
          <w:rFonts w:ascii="Garamond" w:hAnsi="Garamond"/>
          <w:sz w:val="22"/>
          <w:szCs w:val="22"/>
        </w:rPr>
        <w:t xml:space="preserve"> but, more precisely, as consistently having a lesser </w:t>
      </w:r>
      <w:r w:rsidR="00901BC2">
        <w:rPr>
          <w:rFonts w:ascii="Garamond" w:hAnsi="Garamond"/>
          <w:i/>
          <w:iCs/>
          <w:sz w:val="22"/>
          <w:szCs w:val="22"/>
        </w:rPr>
        <w:t xml:space="preserve">kind </w:t>
      </w:r>
      <w:r w:rsidR="00901BC2">
        <w:rPr>
          <w:rFonts w:ascii="Garamond" w:hAnsi="Garamond"/>
          <w:sz w:val="22"/>
          <w:szCs w:val="22"/>
        </w:rPr>
        <w:t xml:space="preserve">of value; instrumental as contrasted with intrinsic. This is surely discrimination in the most </w:t>
      </w:r>
      <w:r w:rsidR="0075696F">
        <w:rPr>
          <w:rFonts w:ascii="Garamond" w:hAnsi="Garamond"/>
          <w:sz w:val="22"/>
          <w:szCs w:val="22"/>
        </w:rPr>
        <w:t>grotesque</w:t>
      </w:r>
      <w:r w:rsidR="00901BC2">
        <w:rPr>
          <w:rFonts w:ascii="Garamond" w:hAnsi="Garamond"/>
          <w:sz w:val="22"/>
          <w:szCs w:val="22"/>
        </w:rPr>
        <w:t xml:space="preserve"> sense</w:t>
      </w:r>
      <w:r w:rsidR="008340A3">
        <w:rPr>
          <w:rFonts w:ascii="Garamond" w:hAnsi="Garamond"/>
          <w:sz w:val="22"/>
          <w:szCs w:val="22"/>
        </w:rPr>
        <w:t>. It</w:t>
      </w:r>
      <w:r w:rsidR="00901BC2">
        <w:rPr>
          <w:rFonts w:ascii="Garamond" w:hAnsi="Garamond"/>
          <w:sz w:val="22"/>
          <w:szCs w:val="22"/>
        </w:rPr>
        <w:t xml:space="preserve"> </w:t>
      </w:r>
      <w:r w:rsidR="008340A3">
        <w:rPr>
          <w:rFonts w:ascii="Garamond" w:hAnsi="Garamond"/>
          <w:sz w:val="22"/>
          <w:szCs w:val="22"/>
        </w:rPr>
        <w:t>must not</w:t>
      </w:r>
      <w:r w:rsidR="00901BC2">
        <w:rPr>
          <w:rFonts w:ascii="Garamond" w:hAnsi="Garamond"/>
          <w:sz w:val="22"/>
          <w:szCs w:val="22"/>
        </w:rPr>
        <w:t xml:space="preserve"> be ethically countenanced.</w:t>
      </w:r>
    </w:p>
    <w:p w14:paraId="6679FA8C" w14:textId="708DAF76" w:rsidR="00793A19" w:rsidRDefault="00793A19" w:rsidP="008340A3">
      <w:pPr>
        <w:spacing w:after="80" w:line="276" w:lineRule="auto"/>
        <w:rPr>
          <w:rFonts w:ascii="Garamond" w:hAnsi="Garamond"/>
          <w:sz w:val="22"/>
          <w:szCs w:val="22"/>
        </w:rPr>
      </w:pPr>
    </w:p>
    <w:p w14:paraId="21891275" w14:textId="77777777" w:rsidR="000022D1" w:rsidRPr="002F66B4" w:rsidRDefault="000022D1" w:rsidP="000022D1">
      <w:pPr>
        <w:spacing w:after="60" w:line="276" w:lineRule="auto"/>
        <w:rPr>
          <w:rFonts w:ascii="Garamond" w:hAnsi="Garamond"/>
          <w:color w:val="000000" w:themeColor="text1"/>
          <w:sz w:val="28"/>
          <w:szCs w:val="28"/>
          <w:u w:val="single"/>
        </w:rPr>
      </w:pPr>
      <w:r w:rsidRPr="002F66B4">
        <w:rPr>
          <w:rFonts w:ascii="Garamond" w:hAnsi="Garamond"/>
          <w:color w:val="000000" w:themeColor="text1"/>
          <w:sz w:val="28"/>
          <w:szCs w:val="28"/>
          <w:u w:val="single"/>
        </w:rPr>
        <w:t>REFERENCE LIST</w:t>
      </w:r>
    </w:p>
    <w:p w14:paraId="2295E0BB" w14:textId="77777777" w:rsidR="000022D1" w:rsidRPr="002F66B4" w:rsidRDefault="000022D1" w:rsidP="000022D1">
      <w:pPr>
        <w:spacing w:after="60" w:line="276" w:lineRule="auto"/>
        <w:rPr>
          <w:rFonts w:ascii="Garamond" w:hAnsi="Garamond"/>
          <w:color w:val="000000" w:themeColor="text1"/>
          <w:sz w:val="22"/>
          <w:szCs w:val="22"/>
        </w:rPr>
      </w:pPr>
      <w:r w:rsidRPr="002F66B4">
        <w:rPr>
          <w:rFonts w:ascii="Garamond" w:hAnsi="Garamond"/>
          <w:color w:val="000000" w:themeColor="text1"/>
          <w:sz w:val="22"/>
          <w:szCs w:val="22"/>
        </w:rPr>
        <w:t xml:space="preserve">(1) </w:t>
      </w:r>
      <w:proofErr w:type="spellStart"/>
      <w:r w:rsidRPr="002F66B4">
        <w:rPr>
          <w:rFonts w:ascii="Garamond" w:hAnsi="Garamond"/>
          <w:color w:val="000000" w:themeColor="text1"/>
          <w:sz w:val="22"/>
          <w:szCs w:val="22"/>
        </w:rPr>
        <w:t>Bagenstos</w:t>
      </w:r>
      <w:proofErr w:type="spellEnd"/>
      <w:r w:rsidRPr="002F66B4">
        <w:rPr>
          <w:rFonts w:ascii="Garamond" w:hAnsi="Garamond"/>
          <w:color w:val="000000" w:themeColor="text1"/>
          <w:sz w:val="22"/>
          <w:szCs w:val="22"/>
        </w:rPr>
        <w:t xml:space="preserve">, S.R. May Hospitals Withhold Ventilators from COVID-19 Patients with Pre-Existing Disabilities: Notes on the Law and Ethics of Disability-Based Medical Rationing. </w:t>
      </w:r>
      <w:r w:rsidRPr="002F66B4">
        <w:rPr>
          <w:rFonts w:ascii="Garamond" w:hAnsi="Garamond"/>
          <w:i/>
          <w:iCs/>
          <w:color w:val="000000" w:themeColor="text1"/>
          <w:sz w:val="22"/>
          <w:szCs w:val="22"/>
        </w:rPr>
        <w:t xml:space="preserve">Yale Law Journal Forum </w:t>
      </w:r>
      <w:r w:rsidRPr="002F66B4">
        <w:rPr>
          <w:rFonts w:ascii="Garamond" w:hAnsi="Garamond"/>
          <w:color w:val="000000" w:themeColor="text1"/>
          <w:sz w:val="22"/>
          <w:szCs w:val="22"/>
        </w:rPr>
        <w:t>forthcoming</w:t>
      </w:r>
    </w:p>
    <w:p w14:paraId="6ADB31AF" w14:textId="77777777" w:rsidR="000022D1" w:rsidRPr="002F66B4" w:rsidRDefault="000022D1" w:rsidP="000022D1">
      <w:pPr>
        <w:spacing w:after="60" w:line="276" w:lineRule="auto"/>
        <w:rPr>
          <w:rFonts w:ascii="Garamond" w:hAnsi="Garamond"/>
          <w:color w:val="000000" w:themeColor="text1"/>
          <w:sz w:val="22"/>
          <w:szCs w:val="22"/>
        </w:rPr>
      </w:pPr>
      <w:r w:rsidRPr="002F66B4">
        <w:rPr>
          <w:rFonts w:ascii="Garamond" w:hAnsi="Garamond"/>
          <w:color w:val="000000" w:themeColor="text1"/>
          <w:sz w:val="22"/>
          <w:szCs w:val="22"/>
        </w:rPr>
        <w:t xml:space="preserve">(2) Persad, G. Why Disability Law Permits Evidence-Based Triage in a Pandemic. </w:t>
      </w:r>
      <w:r w:rsidRPr="002F66B4">
        <w:rPr>
          <w:rFonts w:ascii="Garamond" w:hAnsi="Garamond"/>
          <w:i/>
          <w:iCs/>
          <w:color w:val="000000" w:themeColor="text1"/>
          <w:sz w:val="22"/>
          <w:szCs w:val="22"/>
        </w:rPr>
        <w:t xml:space="preserve">Yale Law Journal Forum </w:t>
      </w:r>
      <w:r w:rsidRPr="002F66B4">
        <w:rPr>
          <w:rFonts w:ascii="Garamond" w:hAnsi="Garamond"/>
          <w:color w:val="000000" w:themeColor="text1"/>
          <w:sz w:val="22"/>
          <w:szCs w:val="22"/>
        </w:rPr>
        <w:t>forthcoming</w:t>
      </w:r>
    </w:p>
    <w:p w14:paraId="760DF8E9" w14:textId="77777777" w:rsidR="000022D1" w:rsidRPr="002F66B4" w:rsidRDefault="000022D1" w:rsidP="000022D1">
      <w:pPr>
        <w:spacing w:after="60" w:line="276" w:lineRule="auto"/>
        <w:rPr>
          <w:rFonts w:ascii="Garamond" w:hAnsi="Garamond"/>
          <w:color w:val="000000" w:themeColor="text1"/>
          <w:sz w:val="22"/>
          <w:szCs w:val="22"/>
        </w:rPr>
      </w:pPr>
      <w:r w:rsidRPr="002F66B4">
        <w:rPr>
          <w:rFonts w:ascii="Garamond" w:hAnsi="Garamond"/>
          <w:color w:val="000000" w:themeColor="text1"/>
          <w:sz w:val="22"/>
          <w:szCs w:val="22"/>
        </w:rPr>
        <w:t xml:space="preserve">(3) Emanuel, E.J., Persad, G., </w:t>
      </w:r>
      <w:proofErr w:type="spellStart"/>
      <w:r w:rsidRPr="002F66B4">
        <w:rPr>
          <w:rFonts w:ascii="Garamond" w:hAnsi="Garamond"/>
          <w:color w:val="000000" w:themeColor="text1"/>
          <w:sz w:val="22"/>
          <w:szCs w:val="22"/>
        </w:rPr>
        <w:t>Upshur</w:t>
      </w:r>
      <w:proofErr w:type="spellEnd"/>
      <w:r w:rsidRPr="002F66B4">
        <w:rPr>
          <w:rFonts w:ascii="Garamond" w:hAnsi="Garamond"/>
          <w:color w:val="000000" w:themeColor="text1"/>
          <w:sz w:val="22"/>
          <w:szCs w:val="22"/>
        </w:rPr>
        <w:t xml:space="preserve">, R. et al. Fair Allocation of Scarce Medical Resources in the Time of Covid-19. </w:t>
      </w:r>
      <w:r w:rsidRPr="002F66B4">
        <w:rPr>
          <w:rFonts w:ascii="Garamond" w:hAnsi="Garamond"/>
          <w:i/>
          <w:iCs/>
          <w:color w:val="000000" w:themeColor="text1"/>
          <w:sz w:val="22"/>
          <w:szCs w:val="22"/>
        </w:rPr>
        <w:t>New England Journal of Medicine</w:t>
      </w:r>
      <w:r w:rsidRPr="002F66B4">
        <w:rPr>
          <w:rFonts w:ascii="Garamond" w:hAnsi="Garamond"/>
          <w:color w:val="000000" w:themeColor="text1"/>
          <w:sz w:val="22"/>
          <w:szCs w:val="22"/>
        </w:rPr>
        <w:t xml:space="preserve"> 2020: DOI: 10.1056/NEJMsb2005114</w:t>
      </w:r>
    </w:p>
    <w:p w14:paraId="11130A0B" w14:textId="77777777" w:rsidR="000022D1" w:rsidRPr="002F66B4" w:rsidRDefault="000022D1" w:rsidP="000022D1">
      <w:pPr>
        <w:spacing w:after="60" w:line="276" w:lineRule="auto"/>
        <w:rPr>
          <w:rFonts w:ascii="Garamond" w:hAnsi="Garamond"/>
          <w:sz w:val="22"/>
          <w:szCs w:val="22"/>
        </w:rPr>
      </w:pPr>
      <w:r w:rsidRPr="002F66B4">
        <w:rPr>
          <w:rFonts w:ascii="Garamond" w:hAnsi="Garamond"/>
          <w:color w:val="000000" w:themeColor="text1"/>
          <w:sz w:val="22"/>
          <w:szCs w:val="22"/>
        </w:rPr>
        <w:t xml:space="preserve">(4) National Council on Disability. </w:t>
      </w:r>
      <w:r w:rsidRPr="002F66B4">
        <w:rPr>
          <w:rFonts w:ascii="Garamond" w:hAnsi="Garamond"/>
          <w:i/>
          <w:iCs/>
          <w:color w:val="000000" w:themeColor="text1"/>
          <w:sz w:val="22"/>
          <w:szCs w:val="22"/>
        </w:rPr>
        <w:t xml:space="preserve">Medical Futility and Disability Bias: Part of the Bioethics and Disability Series </w:t>
      </w:r>
      <w:r w:rsidRPr="002F66B4">
        <w:rPr>
          <w:rFonts w:ascii="Garamond" w:hAnsi="Garamond"/>
          <w:color w:val="000000" w:themeColor="text1"/>
          <w:sz w:val="22"/>
          <w:szCs w:val="22"/>
        </w:rPr>
        <w:t>2019. Available from: &lt;</w:t>
      </w:r>
      <w:hyperlink r:id="rId9" w:history="1">
        <w:r w:rsidRPr="002F66B4">
          <w:rPr>
            <w:rStyle w:val="Hyperlink"/>
            <w:rFonts w:ascii="Garamond" w:hAnsi="Garamond"/>
            <w:sz w:val="22"/>
            <w:szCs w:val="22"/>
          </w:rPr>
          <w:t>https://ncd.gov/sites/default/files/NCD_Medical_Futility_Report_508.pdf</w:t>
        </w:r>
      </w:hyperlink>
      <w:r w:rsidRPr="002F66B4">
        <w:rPr>
          <w:rFonts w:ascii="Garamond" w:hAnsi="Garamond"/>
          <w:color w:val="000000" w:themeColor="text1"/>
          <w:sz w:val="22"/>
          <w:szCs w:val="22"/>
        </w:rPr>
        <w:t>&gt; [Accessed 1</w:t>
      </w:r>
      <w:r w:rsidRPr="002F66B4">
        <w:rPr>
          <w:rFonts w:ascii="Garamond" w:hAnsi="Garamond"/>
          <w:color w:val="000000" w:themeColor="text1"/>
          <w:sz w:val="22"/>
          <w:szCs w:val="22"/>
          <w:vertAlign w:val="superscript"/>
        </w:rPr>
        <w:t>st</w:t>
      </w:r>
      <w:r w:rsidRPr="002F66B4">
        <w:rPr>
          <w:rFonts w:ascii="Garamond" w:hAnsi="Garamond"/>
          <w:color w:val="000000" w:themeColor="text1"/>
          <w:sz w:val="22"/>
          <w:szCs w:val="22"/>
        </w:rPr>
        <w:t xml:space="preserve"> May 2020]</w:t>
      </w:r>
    </w:p>
    <w:p w14:paraId="2275042A" w14:textId="77777777" w:rsidR="000022D1" w:rsidRPr="002F66B4" w:rsidRDefault="000022D1" w:rsidP="000022D1">
      <w:pPr>
        <w:spacing w:after="60" w:line="276" w:lineRule="auto"/>
        <w:rPr>
          <w:rFonts w:ascii="Garamond" w:hAnsi="Garamond"/>
          <w:sz w:val="22"/>
          <w:szCs w:val="22"/>
        </w:rPr>
      </w:pPr>
      <w:r w:rsidRPr="002F66B4">
        <w:rPr>
          <w:rFonts w:ascii="Garamond" w:hAnsi="Garamond"/>
          <w:color w:val="000000" w:themeColor="text1"/>
          <w:sz w:val="22"/>
          <w:szCs w:val="22"/>
        </w:rPr>
        <w:t xml:space="preserve">(5) </w:t>
      </w:r>
      <w:r w:rsidRPr="002F66B4">
        <w:rPr>
          <w:rFonts w:ascii="Garamond" w:hAnsi="Garamond"/>
          <w:sz w:val="22"/>
          <w:szCs w:val="22"/>
        </w:rPr>
        <w:t xml:space="preserve">Shakespeare, T., </w:t>
      </w:r>
      <w:proofErr w:type="spellStart"/>
      <w:r w:rsidRPr="002F66B4">
        <w:rPr>
          <w:rFonts w:ascii="Garamond" w:hAnsi="Garamond"/>
          <w:sz w:val="22"/>
          <w:szCs w:val="22"/>
        </w:rPr>
        <w:t>Iezzoni</w:t>
      </w:r>
      <w:proofErr w:type="spellEnd"/>
      <w:r w:rsidRPr="002F66B4">
        <w:rPr>
          <w:rFonts w:ascii="Garamond" w:hAnsi="Garamond"/>
          <w:sz w:val="22"/>
          <w:szCs w:val="22"/>
        </w:rPr>
        <w:t xml:space="preserve">, L. &amp; </w:t>
      </w:r>
      <w:proofErr w:type="spellStart"/>
      <w:r w:rsidRPr="002F66B4">
        <w:rPr>
          <w:rFonts w:ascii="Garamond" w:hAnsi="Garamond"/>
          <w:sz w:val="22"/>
          <w:szCs w:val="22"/>
        </w:rPr>
        <w:t>Groce</w:t>
      </w:r>
      <w:proofErr w:type="spellEnd"/>
      <w:r w:rsidRPr="002F66B4">
        <w:rPr>
          <w:rFonts w:ascii="Garamond" w:hAnsi="Garamond"/>
          <w:sz w:val="22"/>
          <w:szCs w:val="22"/>
        </w:rPr>
        <w:t xml:space="preserve">, N.E. Disability and the Training of Health Professionals. </w:t>
      </w:r>
      <w:r w:rsidRPr="002F66B4">
        <w:rPr>
          <w:rFonts w:ascii="Garamond" w:hAnsi="Garamond"/>
          <w:i/>
          <w:iCs/>
          <w:sz w:val="22"/>
          <w:szCs w:val="22"/>
        </w:rPr>
        <w:t xml:space="preserve">The Lancet </w:t>
      </w:r>
      <w:r w:rsidRPr="002F66B4">
        <w:rPr>
          <w:rFonts w:ascii="Garamond" w:hAnsi="Garamond"/>
          <w:sz w:val="22"/>
          <w:szCs w:val="22"/>
        </w:rPr>
        <w:t>2009; 374(9704):1815-1816</w:t>
      </w:r>
    </w:p>
    <w:p w14:paraId="7E2D93A0" w14:textId="77777777" w:rsidR="000022D1" w:rsidRPr="002F66B4" w:rsidRDefault="000022D1" w:rsidP="000022D1">
      <w:pPr>
        <w:spacing w:after="60" w:line="276" w:lineRule="auto"/>
        <w:rPr>
          <w:rFonts w:ascii="Garamond" w:hAnsi="Garamond"/>
          <w:sz w:val="22"/>
          <w:szCs w:val="22"/>
        </w:rPr>
      </w:pPr>
      <w:r w:rsidRPr="002F66B4">
        <w:rPr>
          <w:rFonts w:ascii="Garamond" w:hAnsi="Garamond"/>
          <w:sz w:val="22"/>
          <w:szCs w:val="22"/>
        </w:rPr>
        <w:t xml:space="preserve">(6) </w:t>
      </w:r>
      <w:proofErr w:type="spellStart"/>
      <w:r w:rsidRPr="002F66B4">
        <w:rPr>
          <w:rFonts w:ascii="Garamond" w:hAnsi="Garamond"/>
          <w:sz w:val="22"/>
          <w:szCs w:val="22"/>
        </w:rPr>
        <w:t>Bagenstos</w:t>
      </w:r>
      <w:proofErr w:type="spellEnd"/>
      <w:r w:rsidRPr="002F66B4">
        <w:rPr>
          <w:rFonts w:ascii="Garamond" w:hAnsi="Garamond"/>
          <w:sz w:val="22"/>
          <w:szCs w:val="22"/>
        </w:rPr>
        <w:t xml:space="preserve">, S.R. &amp; </w:t>
      </w:r>
      <w:proofErr w:type="spellStart"/>
      <w:r w:rsidRPr="002F66B4">
        <w:rPr>
          <w:rFonts w:ascii="Garamond" w:hAnsi="Garamond"/>
          <w:sz w:val="22"/>
          <w:szCs w:val="22"/>
        </w:rPr>
        <w:t>Schlanger</w:t>
      </w:r>
      <w:proofErr w:type="spellEnd"/>
      <w:r w:rsidRPr="002F66B4">
        <w:rPr>
          <w:rFonts w:ascii="Garamond" w:hAnsi="Garamond"/>
          <w:sz w:val="22"/>
          <w:szCs w:val="22"/>
        </w:rPr>
        <w:t xml:space="preserve">, M. Hedonic Damages, Hedonic Adaptation, and Disability. </w:t>
      </w:r>
      <w:r w:rsidRPr="002F66B4">
        <w:rPr>
          <w:rFonts w:ascii="Garamond" w:hAnsi="Garamond"/>
          <w:i/>
          <w:iCs/>
          <w:sz w:val="22"/>
          <w:szCs w:val="22"/>
        </w:rPr>
        <w:t xml:space="preserve">Vanderbilt Law Review </w:t>
      </w:r>
      <w:r w:rsidRPr="002F66B4">
        <w:rPr>
          <w:rFonts w:ascii="Garamond" w:hAnsi="Garamond"/>
          <w:sz w:val="22"/>
          <w:szCs w:val="22"/>
        </w:rPr>
        <w:t>2007; 60(3):745-797</w:t>
      </w:r>
    </w:p>
    <w:p w14:paraId="35854F32" w14:textId="77777777" w:rsidR="000022D1" w:rsidRPr="002F66B4" w:rsidRDefault="000022D1" w:rsidP="000022D1">
      <w:pPr>
        <w:spacing w:after="60" w:line="276" w:lineRule="auto"/>
        <w:rPr>
          <w:rFonts w:ascii="Garamond" w:hAnsi="Garamond"/>
          <w:sz w:val="22"/>
          <w:szCs w:val="22"/>
        </w:rPr>
      </w:pPr>
      <w:r w:rsidRPr="002F66B4">
        <w:rPr>
          <w:rFonts w:ascii="Garamond" w:hAnsi="Garamond"/>
          <w:sz w:val="22"/>
          <w:szCs w:val="22"/>
        </w:rPr>
        <w:t xml:space="preserve">(7) Gill, C.J. Health Professionals, Disability, and Assisted Suicide: An Examination of Relevant Empirical Evidence and Reply to Batavia. </w:t>
      </w:r>
      <w:r w:rsidRPr="002F66B4">
        <w:rPr>
          <w:rFonts w:ascii="Garamond" w:hAnsi="Garamond"/>
          <w:i/>
          <w:iCs/>
          <w:sz w:val="22"/>
          <w:szCs w:val="22"/>
        </w:rPr>
        <w:t>Psychology, Public Policy, and Law</w:t>
      </w:r>
      <w:r w:rsidRPr="002F66B4">
        <w:rPr>
          <w:rFonts w:ascii="Garamond" w:hAnsi="Garamond"/>
          <w:sz w:val="22"/>
          <w:szCs w:val="22"/>
        </w:rPr>
        <w:t xml:space="preserve"> 2000; 6(2):526-545</w:t>
      </w:r>
    </w:p>
    <w:p w14:paraId="563C048F" w14:textId="77777777" w:rsidR="000022D1" w:rsidRPr="002F66B4" w:rsidRDefault="000022D1" w:rsidP="000022D1">
      <w:pPr>
        <w:spacing w:after="60" w:line="276" w:lineRule="auto"/>
        <w:rPr>
          <w:rFonts w:ascii="Garamond" w:hAnsi="Garamond"/>
          <w:sz w:val="22"/>
          <w:szCs w:val="22"/>
        </w:rPr>
      </w:pPr>
      <w:r w:rsidRPr="002F66B4">
        <w:rPr>
          <w:rFonts w:ascii="Garamond" w:hAnsi="Garamond"/>
          <w:sz w:val="22"/>
          <w:szCs w:val="22"/>
        </w:rPr>
        <w:t xml:space="preserve">(8) </w:t>
      </w:r>
      <w:proofErr w:type="spellStart"/>
      <w:r w:rsidRPr="002F66B4">
        <w:rPr>
          <w:rFonts w:ascii="Garamond" w:hAnsi="Garamond"/>
          <w:sz w:val="22"/>
          <w:szCs w:val="22"/>
        </w:rPr>
        <w:t>Ne’eman</w:t>
      </w:r>
      <w:proofErr w:type="spellEnd"/>
      <w:r w:rsidRPr="002F66B4">
        <w:rPr>
          <w:rFonts w:ascii="Garamond" w:hAnsi="Garamond"/>
          <w:sz w:val="22"/>
          <w:szCs w:val="22"/>
        </w:rPr>
        <w:t xml:space="preserve">, A. I Will Not Apologise for My Needs. </w:t>
      </w:r>
      <w:r w:rsidRPr="002F66B4">
        <w:rPr>
          <w:rFonts w:ascii="Garamond" w:hAnsi="Garamond"/>
          <w:i/>
          <w:iCs/>
          <w:sz w:val="22"/>
          <w:szCs w:val="22"/>
        </w:rPr>
        <w:t>New York Times</w:t>
      </w:r>
      <w:r w:rsidRPr="002F66B4">
        <w:rPr>
          <w:rFonts w:ascii="Garamond" w:hAnsi="Garamond"/>
          <w:sz w:val="22"/>
          <w:szCs w:val="22"/>
        </w:rPr>
        <w:t xml:space="preserve"> 2020. Available from: &lt;</w:t>
      </w:r>
      <w:hyperlink r:id="rId10" w:history="1">
        <w:r w:rsidRPr="002F66B4">
          <w:rPr>
            <w:rStyle w:val="Hyperlink"/>
            <w:rFonts w:ascii="Garamond" w:hAnsi="Garamond"/>
            <w:sz w:val="22"/>
            <w:szCs w:val="22"/>
          </w:rPr>
          <w:t>https://www.nytimes.com/2020/03/23/opinion/coronavirus-ventilators-triage-disability.html</w:t>
        </w:r>
      </w:hyperlink>
      <w:r w:rsidRPr="002F66B4">
        <w:rPr>
          <w:rFonts w:ascii="Garamond" w:hAnsi="Garamond"/>
          <w:sz w:val="22"/>
          <w:szCs w:val="22"/>
        </w:rPr>
        <w:t>&gt;</w:t>
      </w:r>
    </w:p>
    <w:p w14:paraId="5787C228" w14:textId="77777777" w:rsidR="000022D1" w:rsidRPr="002F66B4" w:rsidRDefault="000022D1" w:rsidP="000022D1">
      <w:pPr>
        <w:spacing w:after="60" w:line="276" w:lineRule="auto"/>
        <w:rPr>
          <w:rFonts w:ascii="Garamond" w:hAnsi="Garamond"/>
          <w:sz w:val="22"/>
          <w:szCs w:val="22"/>
        </w:rPr>
      </w:pPr>
      <w:r w:rsidRPr="002F66B4">
        <w:rPr>
          <w:rFonts w:ascii="Garamond" w:hAnsi="Garamond"/>
          <w:sz w:val="22"/>
          <w:szCs w:val="22"/>
        </w:rPr>
        <w:t xml:space="preserve">(9) Carlson, D. </w:t>
      </w:r>
      <w:r w:rsidRPr="002F66B4">
        <w:rPr>
          <w:rFonts w:ascii="Garamond" w:hAnsi="Garamond"/>
          <w:i/>
          <w:iCs/>
          <w:sz w:val="22"/>
          <w:szCs w:val="22"/>
        </w:rPr>
        <w:t>Letter from Disability Rights Washington to Roger Severino</w:t>
      </w:r>
      <w:r w:rsidRPr="002F66B4">
        <w:rPr>
          <w:rFonts w:ascii="Garamond" w:hAnsi="Garamond"/>
          <w:sz w:val="22"/>
          <w:szCs w:val="22"/>
        </w:rPr>
        <w:t xml:space="preserve"> 2020. Available from: &lt;</w:t>
      </w:r>
      <w:hyperlink r:id="rId11" w:history="1">
        <w:r w:rsidRPr="002F66B4">
          <w:rPr>
            <w:rStyle w:val="Hyperlink"/>
            <w:rFonts w:ascii="Garamond" w:hAnsi="Garamond"/>
            <w:sz w:val="22"/>
            <w:szCs w:val="22"/>
          </w:rPr>
          <w:t>https://www.centerforpublicrep.org/wp-content/uploads/2020/03/OCR-Complaint_3-23-20-final.pdf</w:t>
        </w:r>
      </w:hyperlink>
      <w:r w:rsidRPr="002F66B4">
        <w:rPr>
          <w:rFonts w:ascii="Garamond" w:hAnsi="Garamond"/>
          <w:sz w:val="22"/>
          <w:szCs w:val="22"/>
        </w:rPr>
        <w:t>&gt; [Accessed 1</w:t>
      </w:r>
      <w:r w:rsidRPr="002F66B4">
        <w:rPr>
          <w:rFonts w:ascii="Garamond" w:hAnsi="Garamond"/>
          <w:sz w:val="22"/>
          <w:szCs w:val="22"/>
          <w:vertAlign w:val="superscript"/>
        </w:rPr>
        <w:t>st</w:t>
      </w:r>
      <w:r w:rsidRPr="002F66B4">
        <w:rPr>
          <w:rFonts w:ascii="Garamond" w:hAnsi="Garamond"/>
          <w:sz w:val="22"/>
          <w:szCs w:val="22"/>
        </w:rPr>
        <w:t xml:space="preserve"> May 2020]</w:t>
      </w:r>
    </w:p>
    <w:p w14:paraId="0E305B11" w14:textId="77777777" w:rsidR="000022D1" w:rsidRPr="002F66B4" w:rsidRDefault="000022D1" w:rsidP="000022D1">
      <w:pPr>
        <w:spacing w:after="60" w:line="276" w:lineRule="auto"/>
        <w:rPr>
          <w:rFonts w:ascii="Garamond" w:hAnsi="Garamond"/>
          <w:sz w:val="22"/>
          <w:szCs w:val="22"/>
        </w:rPr>
      </w:pPr>
      <w:r w:rsidRPr="002F66B4">
        <w:rPr>
          <w:rFonts w:ascii="Garamond" w:hAnsi="Garamond"/>
          <w:sz w:val="22"/>
          <w:szCs w:val="22"/>
        </w:rPr>
        <w:t xml:space="preserve">(10) </w:t>
      </w:r>
      <w:proofErr w:type="spellStart"/>
      <w:r w:rsidRPr="002F66B4">
        <w:rPr>
          <w:rFonts w:ascii="Garamond" w:hAnsi="Garamond"/>
          <w:sz w:val="22"/>
          <w:szCs w:val="22"/>
        </w:rPr>
        <w:t>Lintern</w:t>
      </w:r>
      <w:proofErr w:type="spellEnd"/>
      <w:r w:rsidRPr="002F66B4">
        <w:rPr>
          <w:rFonts w:ascii="Garamond" w:hAnsi="Garamond"/>
          <w:sz w:val="22"/>
          <w:szCs w:val="22"/>
        </w:rPr>
        <w:t xml:space="preserve">, S. Coronavirus: U-Turn on Critical Care Advice for NHS Amid Fears Disabled People Will be Denied Treatment. </w:t>
      </w:r>
      <w:r w:rsidRPr="002F66B4">
        <w:rPr>
          <w:rFonts w:ascii="Garamond" w:hAnsi="Garamond"/>
          <w:i/>
          <w:iCs/>
          <w:sz w:val="22"/>
          <w:szCs w:val="22"/>
        </w:rPr>
        <w:t>The Independent</w:t>
      </w:r>
      <w:r w:rsidRPr="002F66B4">
        <w:rPr>
          <w:rFonts w:ascii="Garamond" w:hAnsi="Garamond"/>
          <w:sz w:val="22"/>
          <w:szCs w:val="22"/>
        </w:rPr>
        <w:t xml:space="preserve"> 2020. Available from: &lt;</w:t>
      </w:r>
      <w:hyperlink r:id="rId12" w:history="1">
        <w:r w:rsidRPr="002F66B4">
          <w:rPr>
            <w:rStyle w:val="Hyperlink"/>
            <w:rFonts w:ascii="Garamond" w:hAnsi="Garamond"/>
            <w:sz w:val="22"/>
            <w:szCs w:val="22"/>
          </w:rPr>
          <w:t>https://www.independent.co.uk/news/health/coronavirus-nhs-treatment-disabled-autism-nice-covid-19-a9423441.html</w:t>
        </w:r>
      </w:hyperlink>
      <w:r w:rsidRPr="002F66B4">
        <w:rPr>
          <w:rFonts w:ascii="Garamond" w:hAnsi="Garamond"/>
          <w:sz w:val="22"/>
          <w:szCs w:val="22"/>
        </w:rPr>
        <w:t>&gt; [Accessed 1</w:t>
      </w:r>
      <w:r w:rsidRPr="002F66B4">
        <w:rPr>
          <w:rFonts w:ascii="Garamond" w:hAnsi="Garamond"/>
          <w:sz w:val="22"/>
          <w:szCs w:val="22"/>
          <w:vertAlign w:val="superscript"/>
        </w:rPr>
        <w:t>st</w:t>
      </w:r>
      <w:r w:rsidRPr="002F66B4">
        <w:rPr>
          <w:rFonts w:ascii="Garamond" w:hAnsi="Garamond"/>
          <w:sz w:val="22"/>
          <w:szCs w:val="22"/>
        </w:rPr>
        <w:t xml:space="preserve"> May 2020]</w:t>
      </w:r>
    </w:p>
    <w:p w14:paraId="7022492E" w14:textId="77777777" w:rsidR="000022D1" w:rsidRPr="002F66B4" w:rsidRDefault="000022D1" w:rsidP="000022D1">
      <w:pPr>
        <w:spacing w:after="60" w:line="276" w:lineRule="auto"/>
        <w:rPr>
          <w:rFonts w:ascii="Garamond" w:hAnsi="Garamond"/>
          <w:sz w:val="22"/>
          <w:szCs w:val="22"/>
        </w:rPr>
      </w:pPr>
      <w:r w:rsidRPr="002F66B4">
        <w:rPr>
          <w:rFonts w:ascii="Garamond" w:hAnsi="Garamond"/>
          <w:sz w:val="22"/>
          <w:szCs w:val="22"/>
        </w:rPr>
        <w:lastRenderedPageBreak/>
        <w:t xml:space="preserve">(11) </w:t>
      </w:r>
      <w:proofErr w:type="spellStart"/>
      <w:r w:rsidRPr="002F66B4">
        <w:rPr>
          <w:rFonts w:ascii="Garamond" w:hAnsi="Garamond"/>
          <w:sz w:val="22"/>
          <w:szCs w:val="22"/>
        </w:rPr>
        <w:t>Hosali</w:t>
      </w:r>
      <w:proofErr w:type="spellEnd"/>
      <w:r w:rsidRPr="002F66B4">
        <w:rPr>
          <w:rFonts w:ascii="Garamond" w:hAnsi="Garamond"/>
          <w:sz w:val="22"/>
          <w:szCs w:val="22"/>
        </w:rPr>
        <w:t xml:space="preserve">, S. The Fight Against Covid-19: Whose Life Counts? </w:t>
      </w:r>
      <w:r w:rsidRPr="002F66B4">
        <w:rPr>
          <w:rFonts w:ascii="Garamond" w:hAnsi="Garamond"/>
          <w:i/>
          <w:iCs/>
          <w:sz w:val="22"/>
          <w:szCs w:val="22"/>
        </w:rPr>
        <w:t>The British Institute of Human Rights</w:t>
      </w:r>
      <w:r w:rsidRPr="002F66B4">
        <w:rPr>
          <w:rFonts w:ascii="Garamond" w:hAnsi="Garamond"/>
          <w:sz w:val="22"/>
          <w:szCs w:val="22"/>
        </w:rPr>
        <w:t xml:space="preserve"> 2020. Available from: </w:t>
      </w:r>
      <w:hyperlink r:id="rId13" w:history="1">
        <w:r w:rsidRPr="002F66B4">
          <w:rPr>
            <w:rStyle w:val="Hyperlink"/>
            <w:rFonts w:ascii="Garamond" w:hAnsi="Garamond"/>
            <w:sz w:val="22"/>
            <w:szCs w:val="22"/>
          </w:rPr>
          <w:t>https://www.bihr.org.uk/blog/the-fight-against-covid-19-whose-life-counts/</w:t>
        </w:r>
      </w:hyperlink>
      <w:r w:rsidRPr="002F66B4">
        <w:rPr>
          <w:rFonts w:ascii="Garamond" w:hAnsi="Garamond"/>
          <w:sz w:val="22"/>
          <w:szCs w:val="22"/>
        </w:rPr>
        <w:t xml:space="preserve"> [Accessed 1</w:t>
      </w:r>
      <w:r w:rsidRPr="002F66B4">
        <w:rPr>
          <w:rFonts w:ascii="Garamond" w:hAnsi="Garamond"/>
          <w:sz w:val="22"/>
          <w:szCs w:val="22"/>
          <w:vertAlign w:val="superscript"/>
        </w:rPr>
        <w:t>st</w:t>
      </w:r>
      <w:r w:rsidRPr="002F66B4">
        <w:rPr>
          <w:rFonts w:ascii="Garamond" w:hAnsi="Garamond"/>
          <w:sz w:val="22"/>
          <w:szCs w:val="22"/>
        </w:rPr>
        <w:t xml:space="preserve"> May 2020]</w:t>
      </w:r>
    </w:p>
    <w:p w14:paraId="6E5E57C7" w14:textId="77777777" w:rsidR="000022D1" w:rsidRPr="002F66B4" w:rsidRDefault="000022D1" w:rsidP="000022D1">
      <w:pPr>
        <w:spacing w:after="60" w:line="276" w:lineRule="auto"/>
        <w:rPr>
          <w:rFonts w:ascii="Garamond" w:hAnsi="Garamond"/>
          <w:sz w:val="22"/>
          <w:szCs w:val="22"/>
        </w:rPr>
      </w:pPr>
      <w:r w:rsidRPr="002F66B4">
        <w:rPr>
          <w:rFonts w:ascii="Garamond" w:hAnsi="Garamond"/>
          <w:sz w:val="22"/>
          <w:szCs w:val="22"/>
        </w:rPr>
        <w:t xml:space="preserve">(12) </w:t>
      </w:r>
      <w:r w:rsidRPr="002F66B4">
        <w:rPr>
          <w:rFonts w:ascii="Garamond" w:hAnsi="Garamond"/>
          <w:color w:val="000000" w:themeColor="text1"/>
          <w:sz w:val="22"/>
          <w:szCs w:val="22"/>
        </w:rPr>
        <w:t xml:space="preserve">British Medical Association [BMA] (2020). “COVID-19 – ethical issues. A guidance </w:t>
      </w:r>
      <w:proofErr w:type="gramStart"/>
      <w:r w:rsidRPr="002F66B4">
        <w:rPr>
          <w:rFonts w:ascii="Garamond" w:hAnsi="Garamond"/>
          <w:color w:val="000000" w:themeColor="text1"/>
          <w:sz w:val="22"/>
          <w:szCs w:val="22"/>
        </w:rPr>
        <w:t>note</w:t>
      </w:r>
      <w:proofErr w:type="gramEnd"/>
      <w:r w:rsidRPr="002F66B4">
        <w:rPr>
          <w:rFonts w:ascii="Garamond" w:hAnsi="Garamond"/>
          <w:color w:val="000000" w:themeColor="text1"/>
          <w:sz w:val="22"/>
          <w:szCs w:val="22"/>
        </w:rPr>
        <w:t>”. Available from:</w:t>
      </w:r>
      <w:r w:rsidRPr="002F66B4">
        <w:rPr>
          <w:rFonts w:ascii="Garamond" w:hAnsi="Garamond"/>
          <w:sz w:val="22"/>
          <w:szCs w:val="22"/>
        </w:rPr>
        <w:t xml:space="preserve"> </w:t>
      </w:r>
      <w:hyperlink r:id="rId14" w:history="1">
        <w:r w:rsidRPr="002F66B4">
          <w:rPr>
            <w:rStyle w:val="Hyperlink"/>
            <w:rFonts w:ascii="Garamond" w:hAnsi="Garamond"/>
            <w:sz w:val="22"/>
            <w:szCs w:val="22"/>
          </w:rPr>
          <w:t>https://www.bma.org.uk/media/2226/bma-covid-19-ethics-guidance.pdf</w:t>
        </w:r>
      </w:hyperlink>
      <w:r w:rsidRPr="002F66B4">
        <w:rPr>
          <w:rFonts w:ascii="Garamond" w:hAnsi="Garamond"/>
          <w:sz w:val="22"/>
          <w:szCs w:val="22"/>
        </w:rPr>
        <w:t xml:space="preserve"> [Accessed 1st May 2020]</w:t>
      </w:r>
    </w:p>
    <w:p w14:paraId="345A670D" w14:textId="77777777" w:rsidR="000022D1" w:rsidRPr="002F66B4" w:rsidRDefault="000022D1" w:rsidP="000022D1">
      <w:pPr>
        <w:spacing w:after="60" w:line="276" w:lineRule="auto"/>
        <w:rPr>
          <w:rFonts w:ascii="Garamond" w:hAnsi="Garamond"/>
          <w:sz w:val="22"/>
          <w:szCs w:val="22"/>
        </w:rPr>
      </w:pPr>
      <w:r w:rsidRPr="002F66B4">
        <w:rPr>
          <w:rFonts w:ascii="Garamond" w:hAnsi="Garamond"/>
          <w:sz w:val="22"/>
          <w:szCs w:val="22"/>
        </w:rPr>
        <w:t xml:space="preserve">(13) </w:t>
      </w:r>
      <w:proofErr w:type="spellStart"/>
      <w:r w:rsidRPr="002F66B4">
        <w:rPr>
          <w:rFonts w:ascii="Garamond" w:hAnsi="Garamond"/>
          <w:sz w:val="22"/>
          <w:szCs w:val="22"/>
        </w:rPr>
        <w:t>Mannelli</w:t>
      </w:r>
      <w:proofErr w:type="spellEnd"/>
      <w:r w:rsidRPr="002F66B4">
        <w:rPr>
          <w:rFonts w:ascii="Garamond" w:hAnsi="Garamond"/>
          <w:sz w:val="22"/>
          <w:szCs w:val="22"/>
        </w:rPr>
        <w:t xml:space="preserve">, C. Whose Life to Save? Scarce Resources Allocation in the Covid-19 Outbreak. </w:t>
      </w:r>
      <w:r w:rsidRPr="002F66B4">
        <w:rPr>
          <w:rFonts w:ascii="Garamond" w:hAnsi="Garamond"/>
          <w:i/>
          <w:iCs/>
          <w:sz w:val="22"/>
          <w:szCs w:val="22"/>
        </w:rPr>
        <w:t>Journal of Medical Ethics</w:t>
      </w:r>
      <w:r w:rsidRPr="002F66B4">
        <w:rPr>
          <w:rFonts w:ascii="Garamond" w:hAnsi="Garamond"/>
          <w:sz w:val="22"/>
          <w:szCs w:val="22"/>
        </w:rPr>
        <w:t xml:space="preserve"> 2020: DOI:  10.1136/medethics-2020-106227</w:t>
      </w:r>
    </w:p>
    <w:p w14:paraId="0B303E02" w14:textId="77777777" w:rsidR="000022D1" w:rsidRDefault="000022D1" w:rsidP="000022D1">
      <w:pPr>
        <w:spacing w:after="60" w:line="276" w:lineRule="auto"/>
        <w:rPr>
          <w:rFonts w:ascii="Garamond" w:hAnsi="Garamond"/>
          <w:sz w:val="22"/>
          <w:szCs w:val="22"/>
        </w:rPr>
      </w:pPr>
      <w:r w:rsidRPr="002F66B4">
        <w:rPr>
          <w:rFonts w:ascii="Garamond" w:hAnsi="Garamond"/>
          <w:sz w:val="22"/>
          <w:szCs w:val="22"/>
        </w:rPr>
        <w:t xml:space="preserve">(14) White, D.B., Katz, M., Luce, J. et al. </w:t>
      </w:r>
      <w:r w:rsidRPr="002F66B4">
        <w:rPr>
          <w:rFonts w:ascii="Garamond" w:hAnsi="Garamond"/>
          <w:i/>
          <w:iCs/>
          <w:sz w:val="22"/>
          <w:szCs w:val="22"/>
        </w:rPr>
        <w:t>A Model Hospital Policy for Allocating Scarce Critical Care Resources</w:t>
      </w:r>
      <w:r w:rsidRPr="002F66B4">
        <w:rPr>
          <w:rFonts w:ascii="Garamond" w:hAnsi="Garamond"/>
          <w:sz w:val="22"/>
          <w:szCs w:val="22"/>
        </w:rPr>
        <w:t xml:space="preserve">. 2020. Available from: </w:t>
      </w:r>
      <w:hyperlink r:id="rId15" w:history="1">
        <w:r w:rsidRPr="002F66B4">
          <w:rPr>
            <w:rStyle w:val="Hyperlink"/>
            <w:rFonts w:ascii="Garamond" w:hAnsi="Garamond"/>
            <w:sz w:val="22"/>
            <w:szCs w:val="22"/>
          </w:rPr>
          <w:t>https://ccm.pitt.edu/sites/default/files/UnivPittsburgh_ModelHospitalResourcePolicy_2020_04_15.pdf</w:t>
        </w:r>
      </w:hyperlink>
      <w:r w:rsidRPr="002F66B4">
        <w:rPr>
          <w:rFonts w:ascii="Garamond" w:hAnsi="Garamond"/>
          <w:sz w:val="22"/>
          <w:szCs w:val="22"/>
        </w:rPr>
        <w:t xml:space="preserve"> [Accessed 1st May 2020]</w:t>
      </w:r>
    </w:p>
    <w:p w14:paraId="54C795DD" w14:textId="77777777" w:rsidR="000022D1" w:rsidRPr="007122B2" w:rsidRDefault="000022D1" w:rsidP="000022D1">
      <w:pPr>
        <w:spacing w:after="60" w:line="276" w:lineRule="auto"/>
        <w:rPr>
          <w:rFonts w:ascii="Garamond" w:hAnsi="Garamond"/>
          <w:sz w:val="22"/>
          <w:szCs w:val="22"/>
        </w:rPr>
      </w:pPr>
      <w:r>
        <w:rPr>
          <w:rFonts w:ascii="Garamond" w:hAnsi="Garamond"/>
          <w:sz w:val="22"/>
          <w:szCs w:val="22"/>
        </w:rPr>
        <w:t xml:space="preserve">(15) Kant, I. </w:t>
      </w:r>
      <w:r>
        <w:rPr>
          <w:rFonts w:ascii="Garamond" w:hAnsi="Garamond"/>
          <w:i/>
          <w:iCs/>
          <w:sz w:val="22"/>
          <w:szCs w:val="22"/>
        </w:rPr>
        <w:t>Groundwork of the Metaphysics of Morals</w:t>
      </w:r>
      <w:r>
        <w:rPr>
          <w:rFonts w:ascii="Garamond" w:hAnsi="Garamond"/>
          <w:sz w:val="22"/>
          <w:szCs w:val="22"/>
        </w:rPr>
        <w:t>. 1785</w:t>
      </w:r>
    </w:p>
    <w:p w14:paraId="07CD0F8A" w14:textId="77777777" w:rsidR="000022D1" w:rsidRPr="002F66B4" w:rsidRDefault="000022D1" w:rsidP="000022D1">
      <w:pPr>
        <w:spacing w:after="60" w:line="276" w:lineRule="auto"/>
        <w:rPr>
          <w:rFonts w:ascii="Garamond" w:hAnsi="Garamond"/>
          <w:sz w:val="22"/>
          <w:szCs w:val="22"/>
        </w:rPr>
      </w:pPr>
      <w:r>
        <w:rPr>
          <w:rFonts w:ascii="Garamond" w:hAnsi="Garamond"/>
          <w:sz w:val="22"/>
          <w:szCs w:val="22"/>
        </w:rPr>
        <w:t>(</w:t>
      </w:r>
      <w:r w:rsidRPr="002F66B4">
        <w:rPr>
          <w:rFonts w:ascii="Garamond" w:hAnsi="Garamond"/>
          <w:sz w:val="22"/>
          <w:szCs w:val="22"/>
        </w:rPr>
        <w:t>1</w:t>
      </w:r>
      <w:r>
        <w:rPr>
          <w:rFonts w:ascii="Garamond" w:hAnsi="Garamond"/>
          <w:sz w:val="22"/>
          <w:szCs w:val="22"/>
        </w:rPr>
        <w:t>6</w:t>
      </w:r>
      <w:r w:rsidRPr="002F66B4">
        <w:rPr>
          <w:rFonts w:ascii="Garamond" w:hAnsi="Garamond"/>
          <w:sz w:val="22"/>
          <w:szCs w:val="22"/>
        </w:rPr>
        <w:t xml:space="preserve">) Johnson, R. &amp; Cureton, A. Kant’s Moral Philosophy. in </w:t>
      </w:r>
      <w:proofErr w:type="spellStart"/>
      <w:r w:rsidRPr="002F66B4">
        <w:rPr>
          <w:rFonts w:ascii="Garamond" w:hAnsi="Garamond"/>
          <w:sz w:val="22"/>
          <w:szCs w:val="22"/>
        </w:rPr>
        <w:t>Zalta</w:t>
      </w:r>
      <w:proofErr w:type="spellEnd"/>
      <w:r w:rsidRPr="002F66B4">
        <w:rPr>
          <w:rFonts w:ascii="Garamond" w:hAnsi="Garamond"/>
          <w:sz w:val="22"/>
          <w:szCs w:val="22"/>
        </w:rPr>
        <w:t>, E.N. (</w:t>
      </w:r>
      <w:proofErr w:type="gramStart"/>
      <w:r w:rsidRPr="002F66B4">
        <w:rPr>
          <w:rFonts w:ascii="Garamond" w:hAnsi="Garamond"/>
          <w:sz w:val="22"/>
          <w:szCs w:val="22"/>
        </w:rPr>
        <w:t>ed.)</w:t>
      </w:r>
      <w:r w:rsidRPr="002F66B4">
        <w:rPr>
          <w:rFonts w:ascii="Garamond" w:hAnsi="Garamond"/>
          <w:i/>
          <w:iCs/>
          <w:sz w:val="22"/>
          <w:szCs w:val="22"/>
        </w:rPr>
        <w:t>The</w:t>
      </w:r>
      <w:proofErr w:type="gramEnd"/>
      <w:r w:rsidRPr="002F66B4">
        <w:rPr>
          <w:rFonts w:ascii="Garamond" w:hAnsi="Garamond"/>
          <w:i/>
          <w:iCs/>
          <w:sz w:val="22"/>
          <w:szCs w:val="22"/>
        </w:rPr>
        <w:t xml:space="preserve"> Stanford </w:t>
      </w:r>
      <w:proofErr w:type="spellStart"/>
      <w:r w:rsidRPr="002F66B4">
        <w:rPr>
          <w:rFonts w:ascii="Garamond" w:hAnsi="Garamond"/>
          <w:i/>
          <w:iCs/>
          <w:sz w:val="22"/>
          <w:szCs w:val="22"/>
        </w:rPr>
        <w:t>Encyclopedia</w:t>
      </w:r>
      <w:proofErr w:type="spellEnd"/>
      <w:r w:rsidRPr="002F66B4">
        <w:rPr>
          <w:rFonts w:ascii="Garamond" w:hAnsi="Garamond"/>
          <w:i/>
          <w:iCs/>
          <w:sz w:val="22"/>
          <w:szCs w:val="22"/>
        </w:rPr>
        <w:t xml:space="preserve"> of Philosophy (Spring 2019 Edition)</w:t>
      </w:r>
      <w:r w:rsidRPr="002F66B4">
        <w:rPr>
          <w:rFonts w:ascii="Garamond" w:hAnsi="Garamond"/>
          <w:sz w:val="22"/>
          <w:szCs w:val="22"/>
        </w:rPr>
        <w:t xml:space="preserve"> 2019.  Available from: </w:t>
      </w:r>
      <w:hyperlink r:id="rId16" w:history="1">
        <w:r w:rsidRPr="002F66B4">
          <w:rPr>
            <w:rStyle w:val="Hyperlink"/>
            <w:rFonts w:ascii="Garamond" w:hAnsi="Garamond"/>
            <w:sz w:val="22"/>
            <w:szCs w:val="22"/>
          </w:rPr>
          <w:t>https://plato.stanford.edu/archives/spr2019/entries/kant-moral/</w:t>
        </w:r>
      </w:hyperlink>
      <w:r w:rsidRPr="002F66B4">
        <w:rPr>
          <w:rFonts w:ascii="Garamond" w:hAnsi="Garamond"/>
          <w:sz w:val="22"/>
          <w:szCs w:val="22"/>
        </w:rPr>
        <w:t xml:space="preserve"> [Accessed 1</w:t>
      </w:r>
      <w:r w:rsidRPr="002F66B4">
        <w:rPr>
          <w:rFonts w:ascii="Garamond" w:hAnsi="Garamond"/>
          <w:sz w:val="22"/>
          <w:szCs w:val="22"/>
          <w:vertAlign w:val="superscript"/>
        </w:rPr>
        <w:t>st</w:t>
      </w:r>
      <w:r w:rsidRPr="002F66B4">
        <w:rPr>
          <w:rFonts w:ascii="Garamond" w:hAnsi="Garamond"/>
          <w:sz w:val="22"/>
          <w:szCs w:val="22"/>
        </w:rPr>
        <w:t xml:space="preserve"> May 2020]</w:t>
      </w:r>
    </w:p>
    <w:p w14:paraId="60D9C2D9" w14:textId="77777777" w:rsidR="000022D1" w:rsidRPr="002F66B4" w:rsidRDefault="000022D1" w:rsidP="000022D1">
      <w:pPr>
        <w:spacing w:after="60" w:line="276" w:lineRule="auto"/>
        <w:rPr>
          <w:rFonts w:ascii="Garamond" w:hAnsi="Garamond"/>
          <w:sz w:val="22"/>
          <w:szCs w:val="22"/>
        </w:rPr>
      </w:pPr>
      <w:r w:rsidRPr="002F66B4">
        <w:rPr>
          <w:rFonts w:ascii="Garamond" w:hAnsi="Garamond"/>
          <w:sz w:val="22"/>
          <w:szCs w:val="22"/>
        </w:rPr>
        <w:t>(1</w:t>
      </w:r>
      <w:r>
        <w:rPr>
          <w:rFonts w:ascii="Garamond" w:hAnsi="Garamond"/>
          <w:sz w:val="22"/>
          <w:szCs w:val="22"/>
        </w:rPr>
        <w:t>7</w:t>
      </w:r>
      <w:r w:rsidRPr="002F66B4">
        <w:rPr>
          <w:rFonts w:ascii="Garamond" w:hAnsi="Garamond"/>
          <w:sz w:val="22"/>
          <w:szCs w:val="22"/>
        </w:rPr>
        <w:t xml:space="preserve">) Hill, T.E. Humanity as an end in itself. </w:t>
      </w:r>
      <w:r w:rsidRPr="002F66B4">
        <w:rPr>
          <w:rFonts w:ascii="Garamond" w:hAnsi="Garamond"/>
          <w:i/>
          <w:iCs/>
          <w:sz w:val="22"/>
          <w:szCs w:val="22"/>
        </w:rPr>
        <w:t>Ethics</w:t>
      </w:r>
      <w:r w:rsidRPr="002F66B4">
        <w:rPr>
          <w:rFonts w:ascii="Garamond" w:hAnsi="Garamond"/>
          <w:sz w:val="22"/>
          <w:szCs w:val="22"/>
        </w:rPr>
        <w:t xml:space="preserve"> 1980; 91:84-99</w:t>
      </w:r>
    </w:p>
    <w:p w14:paraId="1D14F4FF" w14:textId="77777777" w:rsidR="000022D1" w:rsidRPr="002F66B4" w:rsidRDefault="000022D1" w:rsidP="000022D1">
      <w:pPr>
        <w:spacing w:after="60" w:line="276" w:lineRule="auto"/>
        <w:rPr>
          <w:rFonts w:ascii="Garamond" w:hAnsi="Garamond"/>
          <w:sz w:val="22"/>
          <w:szCs w:val="22"/>
        </w:rPr>
      </w:pPr>
      <w:r w:rsidRPr="002F66B4">
        <w:rPr>
          <w:rFonts w:ascii="Garamond" w:hAnsi="Garamond"/>
          <w:sz w:val="22"/>
          <w:szCs w:val="22"/>
        </w:rPr>
        <w:t>(1</w:t>
      </w:r>
      <w:r>
        <w:rPr>
          <w:rFonts w:ascii="Garamond" w:hAnsi="Garamond"/>
          <w:sz w:val="22"/>
          <w:szCs w:val="22"/>
        </w:rPr>
        <w:t>8</w:t>
      </w:r>
      <w:r w:rsidRPr="002F66B4">
        <w:rPr>
          <w:rFonts w:ascii="Garamond" w:hAnsi="Garamond"/>
          <w:sz w:val="22"/>
          <w:szCs w:val="22"/>
        </w:rPr>
        <w:t xml:space="preserve">) Wong, A. I’m disabled and need a ventilator to live. Am I expendable during this </w:t>
      </w:r>
      <w:proofErr w:type="gramStart"/>
      <w:r w:rsidRPr="002F66B4">
        <w:rPr>
          <w:rFonts w:ascii="Garamond" w:hAnsi="Garamond"/>
          <w:sz w:val="22"/>
          <w:szCs w:val="22"/>
        </w:rPr>
        <w:t>pandemic?.</w:t>
      </w:r>
      <w:proofErr w:type="gramEnd"/>
      <w:r w:rsidRPr="002F66B4">
        <w:rPr>
          <w:rFonts w:ascii="Garamond" w:hAnsi="Garamond"/>
          <w:sz w:val="22"/>
          <w:szCs w:val="22"/>
        </w:rPr>
        <w:t xml:space="preserve"> </w:t>
      </w:r>
      <w:r w:rsidRPr="002F66B4">
        <w:rPr>
          <w:rFonts w:ascii="Garamond" w:hAnsi="Garamond"/>
          <w:i/>
          <w:iCs/>
          <w:sz w:val="22"/>
          <w:szCs w:val="22"/>
        </w:rPr>
        <w:t xml:space="preserve">Vox </w:t>
      </w:r>
      <w:r w:rsidRPr="002F66B4">
        <w:rPr>
          <w:rFonts w:ascii="Garamond" w:hAnsi="Garamond"/>
          <w:sz w:val="22"/>
          <w:szCs w:val="22"/>
        </w:rPr>
        <w:t xml:space="preserve">2020. Available from: </w:t>
      </w:r>
      <w:hyperlink r:id="rId17" w:history="1">
        <w:r w:rsidRPr="002F66B4">
          <w:rPr>
            <w:rFonts w:ascii="Garamond" w:hAnsi="Garamond"/>
            <w:color w:val="0000FF"/>
            <w:sz w:val="22"/>
            <w:szCs w:val="22"/>
            <w:u w:val="single"/>
          </w:rPr>
          <w:t>https://www.vox.com/first-person/2020/4/4/21204261/coronavirus-covid-19-disabled-people-disabilities-triage</w:t>
        </w:r>
      </w:hyperlink>
      <w:r w:rsidRPr="002F66B4">
        <w:rPr>
          <w:rFonts w:ascii="Garamond" w:hAnsi="Garamond"/>
          <w:sz w:val="22"/>
          <w:szCs w:val="22"/>
        </w:rPr>
        <w:t xml:space="preserve"> [Accessed 1st May 2020]</w:t>
      </w:r>
    </w:p>
    <w:p w14:paraId="48079F45" w14:textId="77777777" w:rsidR="000022D1" w:rsidRPr="002F66B4" w:rsidRDefault="000022D1" w:rsidP="000022D1">
      <w:pPr>
        <w:spacing w:after="60" w:line="276" w:lineRule="auto"/>
        <w:rPr>
          <w:rFonts w:ascii="Garamond" w:hAnsi="Garamond"/>
          <w:sz w:val="22"/>
          <w:szCs w:val="22"/>
        </w:rPr>
      </w:pPr>
      <w:r w:rsidRPr="002F66B4">
        <w:rPr>
          <w:rFonts w:ascii="Garamond" w:hAnsi="Garamond"/>
          <w:sz w:val="22"/>
          <w:szCs w:val="22"/>
        </w:rPr>
        <w:t>(1</w:t>
      </w:r>
      <w:r>
        <w:rPr>
          <w:rFonts w:ascii="Garamond" w:hAnsi="Garamond"/>
          <w:sz w:val="22"/>
          <w:szCs w:val="22"/>
        </w:rPr>
        <w:t>9</w:t>
      </w:r>
      <w:r w:rsidRPr="002F66B4">
        <w:rPr>
          <w:rFonts w:ascii="Garamond" w:hAnsi="Garamond"/>
          <w:sz w:val="22"/>
          <w:szCs w:val="22"/>
        </w:rPr>
        <w:t xml:space="preserve">) Jones, K.S. (2020). NHS is being ‘protected’ from those who need protecting most by rationing treatment based on eugenic ‘guidelines’. Available from: </w:t>
      </w:r>
      <w:hyperlink r:id="rId18" w:history="1">
        <w:r w:rsidRPr="002F66B4">
          <w:rPr>
            <w:rStyle w:val="Hyperlink"/>
            <w:rFonts w:ascii="Garamond" w:hAnsi="Garamond"/>
            <w:sz w:val="22"/>
            <w:szCs w:val="22"/>
          </w:rPr>
          <w:t>https://politicsandinsights.org/2020/04/02/nhs-is-being-protected-from-those-who-need-protecting-most-by-rationing-treatment-based-on-eugenic-guidelines/</w:t>
        </w:r>
      </w:hyperlink>
      <w:r w:rsidRPr="002F66B4">
        <w:rPr>
          <w:rFonts w:ascii="Garamond" w:hAnsi="Garamond"/>
          <w:sz w:val="22"/>
          <w:szCs w:val="22"/>
        </w:rPr>
        <w:t xml:space="preserve"> [Accessed 1</w:t>
      </w:r>
      <w:r w:rsidRPr="002F66B4">
        <w:rPr>
          <w:rFonts w:ascii="Garamond" w:hAnsi="Garamond"/>
          <w:sz w:val="22"/>
          <w:szCs w:val="22"/>
          <w:vertAlign w:val="superscript"/>
        </w:rPr>
        <w:t>st</w:t>
      </w:r>
      <w:r w:rsidRPr="002F66B4">
        <w:rPr>
          <w:rFonts w:ascii="Garamond" w:hAnsi="Garamond"/>
          <w:sz w:val="22"/>
          <w:szCs w:val="22"/>
        </w:rPr>
        <w:t xml:space="preserve"> May 2020]</w:t>
      </w:r>
    </w:p>
    <w:p w14:paraId="06914392" w14:textId="77777777" w:rsidR="00793A19" w:rsidRPr="008340A3" w:rsidRDefault="00793A19" w:rsidP="008340A3">
      <w:pPr>
        <w:spacing w:after="80" w:line="276" w:lineRule="auto"/>
        <w:rPr>
          <w:rFonts w:ascii="Garamond" w:hAnsi="Garamond"/>
          <w:color w:val="000000" w:themeColor="text1"/>
          <w:sz w:val="22"/>
          <w:szCs w:val="22"/>
        </w:rPr>
      </w:pPr>
    </w:p>
    <w:sectPr w:rsidR="00793A19" w:rsidRPr="008340A3" w:rsidSect="00553BF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50BAB" w14:textId="77777777" w:rsidR="00F2504C" w:rsidRDefault="00F2504C" w:rsidP="005A2BA2">
      <w:r>
        <w:separator/>
      </w:r>
    </w:p>
  </w:endnote>
  <w:endnote w:type="continuationSeparator" w:id="0">
    <w:p w14:paraId="32FB1E94" w14:textId="77777777" w:rsidR="00F2504C" w:rsidRDefault="00F2504C" w:rsidP="005A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82872" w14:textId="77777777" w:rsidR="00F2504C" w:rsidRDefault="00F2504C" w:rsidP="005A2BA2">
      <w:r>
        <w:separator/>
      </w:r>
    </w:p>
  </w:footnote>
  <w:footnote w:type="continuationSeparator" w:id="0">
    <w:p w14:paraId="0CBD267B" w14:textId="77777777" w:rsidR="00F2504C" w:rsidRDefault="00F2504C" w:rsidP="005A2BA2">
      <w:r>
        <w:continuationSeparator/>
      </w:r>
    </w:p>
  </w:footnote>
  <w:footnote w:id="1">
    <w:p w14:paraId="1558B1B1" w14:textId="01703942" w:rsidR="00017463" w:rsidRPr="00017463" w:rsidRDefault="00017463">
      <w:pPr>
        <w:pStyle w:val="FootnoteText"/>
      </w:pPr>
      <w:r>
        <w:rPr>
          <w:rStyle w:val="FootnoteReference"/>
        </w:rPr>
        <w:footnoteRef/>
      </w:r>
      <w:r>
        <w:t xml:space="preserve"> </w:t>
      </w:r>
      <w:r w:rsidRPr="00017463">
        <w:rPr>
          <w:rFonts w:ascii="Baskerville" w:hAnsi="Baskerville"/>
          <w:color w:val="000000" w:themeColor="text1"/>
          <w:sz w:val="18"/>
          <w:szCs w:val="18"/>
        </w:rPr>
        <w:t>Including defaulting to lottery or other methods of random allocation, except</w:t>
      </w:r>
      <w:r w:rsidR="00EE3E33">
        <w:rPr>
          <w:rFonts w:ascii="Baskerville" w:hAnsi="Baskerville"/>
          <w:color w:val="000000" w:themeColor="text1"/>
          <w:sz w:val="18"/>
          <w:szCs w:val="18"/>
        </w:rPr>
        <w:t xml:space="preserve"> perhaps</w:t>
      </w:r>
      <w:r w:rsidRPr="00017463">
        <w:rPr>
          <w:rFonts w:ascii="Baskerville" w:hAnsi="Baskerville"/>
          <w:color w:val="000000" w:themeColor="text1"/>
          <w:sz w:val="18"/>
          <w:szCs w:val="18"/>
        </w:rPr>
        <w:t xml:space="preserve"> in cases where a certain individual’s receiving the resource is genuinely </w:t>
      </w:r>
      <w:r w:rsidRPr="00017463">
        <w:rPr>
          <w:rFonts w:ascii="Baskerville" w:hAnsi="Baskerville"/>
          <w:i/>
          <w:iCs/>
          <w:color w:val="000000" w:themeColor="text1"/>
          <w:sz w:val="18"/>
          <w:szCs w:val="18"/>
        </w:rPr>
        <w:t>futile</w:t>
      </w:r>
      <w:r>
        <w:rPr>
          <w:rFonts w:ascii="Baskerville" w:hAnsi="Baskerville"/>
          <w:i/>
          <w:iCs/>
          <w:color w:val="000000" w:themeColor="text1"/>
          <w:sz w:val="18"/>
          <w:szCs w:val="18"/>
        </w:rPr>
        <w:t xml:space="preserve"> </w:t>
      </w:r>
      <w:r>
        <w:rPr>
          <w:rFonts w:ascii="Baskerville" w:hAnsi="Baskerville"/>
          <w:color w:val="000000" w:themeColor="text1"/>
          <w:sz w:val="18"/>
          <w:szCs w:val="18"/>
        </w:rPr>
        <w:t xml:space="preserve">(see </w:t>
      </w:r>
      <w:proofErr w:type="spellStart"/>
      <w:r>
        <w:rPr>
          <w:rFonts w:ascii="Baskerville" w:hAnsi="Baskerville"/>
          <w:color w:val="000000" w:themeColor="text1"/>
          <w:sz w:val="18"/>
          <w:szCs w:val="18"/>
        </w:rPr>
        <w:t>Bagenstos</w:t>
      </w:r>
      <w:proofErr w:type="spellEnd"/>
      <w:r>
        <w:rPr>
          <w:rFonts w:ascii="Baskerville" w:hAnsi="Baskerville"/>
          <w:color w:val="000000" w:themeColor="text1"/>
          <w:sz w:val="18"/>
          <w:szCs w:val="18"/>
        </w:rPr>
        <w:t xml:space="preserve"> forthcoming).</w:t>
      </w:r>
    </w:p>
  </w:footnote>
  <w:footnote w:id="2">
    <w:p w14:paraId="0675D303" w14:textId="06D9207D" w:rsidR="00695F6C" w:rsidRDefault="00695F6C">
      <w:pPr>
        <w:pStyle w:val="FootnoteText"/>
      </w:pPr>
      <w:r>
        <w:rPr>
          <w:rStyle w:val="FootnoteReference"/>
        </w:rPr>
        <w:footnoteRef/>
      </w:r>
      <w:r>
        <w:t xml:space="preserve"> </w:t>
      </w:r>
      <w:r w:rsidR="00DD262B" w:rsidRPr="00524EEE">
        <w:rPr>
          <w:rFonts w:ascii="Baskerville" w:hAnsi="Baskerville"/>
          <w:color w:val="000000" w:themeColor="text1"/>
          <w:sz w:val="18"/>
          <w:szCs w:val="18"/>
        </w:rPr>
        <w:t xml:space="preserve">Whereby, roughly, everybody for whom ICU treatment is </w:t>
      </w:r>
      <w:r w:rsidR="00DD262B" w:rsidRPr="00524EEE">
        <w:rPr>
          <w:rFonts w:ascii="Baskerville" w:hAnsi="Baskerville"/>
          <w:i/>
          <w:iCs/>
          <w:color w:val="000000" w:themeColor="text1"/>
          <w:sz w:val="18"/>
          <w:szCs w:val="18"/>
        </w:rPr>
        <w:t>not futile</w:t>
      </w:r>
      <w:r w:rsidR="00DD262B" w:rsidRPr="00524EEE">
        <w:rPr>
          <w:rFonts w:ascii="Baskerville" w:hAnsi="Baskerville"/>
          <w:color w:val="000000" w:themeColor="text1"/>
          <w:sz w:val="18"/>
          <w:szCs w:val="18"/>
        </w:rPr>
        <w:t xml:space="preserve"> is treated as having the same level of priority (largely disregarding the likely rate and magnitude of benefit), and decisions about who among them to treat are made by random allocation methods</w:t>
      </w:r>
      <w:r w:rsidR="000209AE">
        <w:rPr>
          <w:rFonts w:ascii="Baskerville" w:hAnsi="Baskerville"/>
          <w:color w:val="000000" w:themeColor="text1"/>
          <w:sz w:val="18"/>
          <w:szCs w:val="18"/>
        </w:rPr>
        <w:t xml:space="preserve"> (see </w:t>
      </w:r>
      <w:proofErr w:type="spellStart"/>
      <w:r w:rsidR="000209AE">
        <w:rPr>
          <w:rFonts w:ascii="Baskerville" w:hAnsi="Baskerville"/>
          <w:color w:val="000000" w:themeColor="text1"/>
          <w:sz w:val="18"/>
          <w:szCs w:val="18"/>
        </w:rPr>
        <w:t>Bagenstos</w:t>
      </w:r>
      <w:proofErr w:type="spellEnd"/>
      <w:r w:rsidR="000209AE">
        <w:rPr>
          <w:rFonts w:ascii="Baskerville" w:hAnsi="Baskerville"/>
          <w:color w:val="000000" w:themeColor="text1"/>
          <w:sz w:val="18"/>
          <w:szCs w:val="18"/>
        </w:rPr>
        <w:t xml:space="preserve"> </w:t>
      </w:r>
      <w:r w:rsidR="00A774A4">
        <w:rPr>
          <w:rFonts w:ascii="Baskerville" w:hAnsi="Baskerville"/>
          <w:color w:val="000000" w:themeColor="text1"/>
          <w:sz w:val="18"/>
          <w:szCs w:val="18"/>
        </w:rPr>
        <w:t>forthcoming</w:t>
      </w:r>
      <w:r w:rsidR="000209AE">
        <w:rPr>
          <w:rFonts w:ascii="Baskerville" w:hAnsi="Baskerville"/>
          <w:color w:val="000000" w:themeColor="text1"/>
          <w:sz w:val="18"/>
          <w:szCs w:val="18"/>
        </w:rPr>
        <w:t>).</w:t>
      </w:r>
    </w:p>
  </w:footnote>
  <w:footnote w:id="3">
    <w:p w14:paraId="192580D0" w14:textId="3F289642" w:rsidR="005E29E5" w:rsidRPr="00D966A4" w:rsidRDefault="005E29E5" w:rsidP="00D966A4">
      <w:pPr>
        <w:rPr>
          <w:rFonts w:ascii="Times New Roman" w:eastAsia="Times New Roman" w:hAnsi="Times New Roman" w:cs="Times New Roman"/>
          <w:lang w:eastAsia="en-GB"/>
        </w:rPr>
      </w:pPr>
      <w:r>
        <w:rPr>
          <w:rStyle w:val="FootnoteReference"/>
        </w:rPr>
        <w:footnoteRef/>
      </w:r>
      <w:r>
        <w:t xml:space="preserve"> </w:t>
      </w:r>
      <w:r w:rsidR="001C3188" w:rsidRPr="00D966A4">
        <w:rPr>
          <w:rFonts w:ascii="Baskerville" w:hAnsi="Baskerville"/>
          <w:color w:val="000000" w:themeColor="text1"/>
          <w:sz w:val="18"/>
          <w:szCs w:val="18"/>
        </w:rPr>
        <w:t>It is more precisely described as the ‘Humanity Formulation’ of the Kantian Categorical Imperative</w:t>
      </w:r>
      <w:r w:rsidR="00D966A4" w:rsidRPr="00D966A4">
        <w:rPr>
          <w:rFonts w:ascii="Baskerville" w:hAnsi="Baskerville"/>
          <w:color w:val="000000" w:themeColor="text1"/>
          <w:sz w:val="18"/>
          <w:szCs w:val="18"/>
        </w:rPr>
        <w:t>: “</w:t>
      </w:r>
      <w:r w:rsidR="00D966A4" w:rsidRPr="00D966A4">
        <w:rPr>
          <w:rFonts w:ascii="Baskerville" w:eastAsia="Times New Roman" w:hAnsi="Baskerville" w:cs="Arial"/>
          <w:color w:val="000000" w:themeColor="text1"/>
          <w:sz w:val="18"/>
          <w:szCs w:val="18"/>
          <w:shd w:val="clear" w:color="auto" w:fill="FFFFFF"/>
          <w:lang w:eastAsia="en-GB"/>
        </w:rPr>
        <w:t>Act in such a way that you treat humanity, whether in your own person or in the person of another, always at the same time as an end and never simply as a means.</w:t>
      </w:r>
      <w:r w:rsidR="00D966A4" w:rsidRPr="00D966A4">
        <w:rPr>
          <w:rFonts w:ascii="Baskerville" w:hAnsi="Baskerville"/>
          <w:color w:val="000000" w:themeColor="text1"/>
          <w:sz w:val="18"/>
          <w:szCs w:val="18"/>
        </w:rPr>
        <w:t>”</w:t>
      </w:r>
      <w:r w:rsidR="000022D1">
        <w:rPr>
          <w:rFonts w:ascii="Baskerville" w:hAnsi="Baskerville"/>
          <w:color w:val="000000" w:themeColor="text1"/>
          <w:sz w:val="18"/>
          <w:szCs w:val="18"/>
        </w:rPr>
        <w:t xml:space="preserve"> [15]</w:t>
      </w:r>
      <w:r w:rsidR="00D966A4" w:rsidRPr="00D966A4">
        <w:rPr>
          <w:rFonts w:ascii="Baskerville" w:hAnsi="Baskerville"/>
          <w:color w:val="000000" w:themeColor="text1"/>
          <w:sz w:val="18"/>
          <w:szCs w:val="18"/>
        </w:rPr>
        <w:t xml:space="preserve">. The distinction between </w:t>
      </w:r>
      <w:r w:rsidR="00D966A4" w:rsidRPr="00D04323">
        <w:rPr>
          <w:rFonts w:ascii="Baskerville" w:hAnsi="Baskerville"/>
          <w:i/>
          <w:iCs/>
          <w:color w:val="000000" w:themeColor="text1"/>
          <w:sz w:val="18"/>
          <w:szCs w:val="18"/>
        </w:rPr>
        <w:t>persons</w:t>
      </w:r>
      <w:r w:rsidR="00D966A4" w:rsidRPr="00D966A4">
        <w:rPr>
          <w:rFonts w:ascii="Baskerville" w:hAnsi="Baskerville"/>
          <w:color w:val="000000" w:themeColor="text1"/>
          <w:sz w:val="18"/>
          <w:szCs w:val="18"/>
        </w:rPr>
        <w:t xml:space="preserve"> and </w:t>
      </w:r>
      <w:r w:rsidR="00D966A4" w:rsidRPr="00D04323">
        <w:rPr>
          <w:rFonts w:ascii="Baskerville" w:hAnsi="Baskerville"/>
          <w:i/>
          <w:iCs/>
          <w:color w:val="000000" w:themeColor="text1"/>
          <w:sz w:val="18"/>
          <w:szCs w:val="18"/>
        </w:rPr>
        <w:t>humanity in a person</w:t>
      </w:r>
      <w:r w:rsidR="00D966A4" w:rsidRPr="00D966A4">
        <w:rPr>
          <w:rFonts w:ascii="Baskerville" w:hAnsi="Baskerville"/>
          <w:color w:val="000000" w:themeColor="text1"/>
          <w:sz w:val="18"/>
          <w:szCs w:val="18"/>
        </w:rPr>
        <w:t xml:space="preserve"> is important in some applied contexts but makes no practical difference in the present discussion.</w:t>
      </w:r>
    </w:p>
  </w:footnote>
  <w:footnote w:id="4">
    <w:p w14:paraId="50D5CFA5" w14:textId="5A179112" w:rsidR="00592E89" w:rsidRPr="00D05351" w:rsidRDefault="00592E89">
      <w:pPr>
        <w:pStyle w:val="FootnoteText"/>
      </w:pPr>
      <w:r>
        <w:rPr>
          <w:rStyle w:val="FootnoteReference"/>
        </w:rPr>
        <w:footnoteRef/>
      </w:r>
      <w:r>
        <w:t xml:space="preserve"> </w:t>
      </w:r>
      <w:r w:rsidRPr="00592E89">
        <w:rPr>
          <w:rFonts w:ascii="Baskerville" w:hAnsi="Baskerville"/>
          <w:sz w:val="18"/>
          <w:szCs w:val="18"/>
        </w:rPr>
        <w:t>Of course, the same biases that should make us suspicious of medical professionals’ quality of life judgments when it comes to disabled people should also motivate us to ensure that processes for making futility judgments are carefully regulated, transparent,</w:t>
      </w:r>
      <w:r>
        <w:rPr>
          <w:rFonts w:ascii="Baskerville" w:hAnsi="Baskerville"/>
          <w:sz w:val="18"/>
          <w:szCs w:val="18"/>
        </w:rPr>
        <w:t xml:space="preserve"> physiologically validated,</w:t>
      </w:r>
      <w:r w:rsidRPr="00592E89">
        <w:rPr>
          <w:rFonts w:ascii="Baskerville" w:hAnsi="Baskerville"/>
          <w:sz w:val="18"/>
          <w:szCs w:val="18"/>
        </w:rPr>
        <w:t xml:space="preserve"> and subject to numerous checks and balances.</w:t>
      </w:r>
      <w:r w:rsidR="00D05351">
        <w:rPr>
          <w:rFonts w:ascii="Baskerville" w:hAnsi="Baskerville"/>
          <w:sz w:val="18"/>
          <w:szCs w:val="18"/>
        </w:rPr>
        <w:t xml:space="preserve"> Minimal triage </w:t>
      </w:r>
      <w:r w:rsidR="00D05351">
        <w:rPr>
          <w:rFonts w:ascii="Baskerville" w:hAnsi="Baskerville"/>
          <w:i/>
          <w:iCs/>
          <w:sz w:val="18"/>
          <w:szCs w:val="18"/>
        </w:rPr>
        <w:t xml:space="preserve">can </w:t>
      </w:r>
      <w:r w:rsidR="00D05351">
        <w:rPr>
          <w:rFonts w:ascii="Baskerville" w:hAnsi="Baskerville"/>
          <w:sz w:val="18"/>
          <w:szCs w:val="18"/>
        </w:rPr>
        <w:t>be done in a non-discriminatory way, but ensuring it remains so is a non-trivial task.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866E6A"/>
    <w:multiLevelType w:val="hybridMultilevel"/>
    <w:tmpl w:val="C228F410"/>
    <w:lvl w:ilvl="0" w:tplc="E7C03CCC">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7B"/>
    <w:rsid w:val="000022D1"/>
    <w:rsid w:val="000023C8"/>
    <w:rsid w:val="00015F85"/>
    <w:rsid w:val="00017463"/>
    <w:rsid w:val="00020341"/>
    <w:rsid w:val="000209AE"/>
    <w:rsid w:val="0006261A"/>
    <w:rsid w:val="000A1060"/>
    <w:rsid w:val="000F1CFB"/>
    <w:rsid w:val="000F7ED3"/>
    <w:rsid w:val="00122DA4"/>
    <w:rsid w:val="00134BB7"/>
    <w:rsid w:val="0014585F"/>
    <w:rsid w:val="001A3833"/>
    <w:rsid w:val="001C3188"/>
    <w:rsid w:val="001E3ED4"/>
    <w:rsid w:val="00215CEE"/>
    <w:rsid w:val="0024369A"/>
    <w:rsid w:val="00254D43"/>
    <w:rsid w:val="002A0CF8"/>
    <w:rsid w:val="002E43D6"/>
    <w:rsid w:val="00336108"/>
    <w:rsid w:val="003643A1"/>
    <w:rsid w:val="0036659C"/>
    <w:rsid w:val="003678D4"/>
    <w:rsid w:val="003C18EA"/>
    <w:rsid w:val="004137D0"/>
    <w:rsid w:val="00456C0B"/>
    <w:rsid w:val="00484ADF"/>
    <w:rsid w:val="004D26E2"/>
    <w:rsid w:val="004F185A"/>
    <w:rsid w:val="0050327B"/>
    <w:rsid w:val="00524EEE"/>
    <w:rsid w:val="00531421"/>
    <w:rsid w:val="00544534"/>
    <w:rsid w:val="00551344"/>
    <w:rsid w:val="00553BFB"/>
    <w:rsid w:val="005603B4"/>
    <w:rsid w:val="005628BC"/>
    <w:rsid w:val="00563D3A"/>
    <w:rsid w:val="00585A4B"/>
    <w:rsid w:val="00592E89"/>
    <w:rsid w:val="0059539A"/>
    <w:rsid w:val="005A2BA2"/>
    <w:rsid w:val="005A638C"/>
    <w:rsid w:val="005B09E9"/>
    <w:rsid w:val="005B7C47"/>
    <w:rsid w:val="005C6613"/>
    <w:rsid w:val="005E29E5"/>
    <w:rsid w:val="005F4163"/>
    <w:rsid w:val="00603C99"/>
    <w:rsid w:val="00640DCF"/>
    <w:rsid w:val="0067362E"/>
    <w:rsid w:val="00687311"/>
    <w:rsid w:val="00695F6C"/>
    <w:rsid w:val="006A395F"/>
    <w:rsid w:val="006C4521"/>
    <w:rsid w:val="006D0BD8"/>
    <w:rsid w:val="006D1D4B"/>
    <w:rsid w:val="006D4665"/>
    <w:rsid w:val="006D733C"/>
    <w:rsid w:val="006E154D"/>
    <w:rsid w:val="007104FE"/>
    <w:rsid w:val="00714061"/>
    <w:rsid w:val="0071544A"/>
    <w:rsid w:val="00717F2D"/>
    <w:rsid w:val="00722D76"/>
    <w:rsid w:val="00723550"/>
    <w:rsid w:val="00725F4E"/>
    <w:rsid w:val="00736B7E"/>
    <w:rsid w:val="00744BD2"/>
    <w:rsid w:val="007568EA"/>
    <w:rsid w:val="0075696F"/>
    <w:rsid w:val="00771742"/>
    <w:rsid w:val="00793A19"/>
    <w:rsid w:val="007A59BA"/>
    <w:rsid w:val="007B1BCC"/>
    <w:rsid w:val="007D34EC"/>
    <w:rsid w:val="007E6277"/>
    <w:rsid w:val="008340A3"/>
    <w:rsid w:val="00837903"/>
    <w:rsid w:val="00841AE2"/>
    <w:rsid w:val="00842516"/>
    <w:rsid w:val="00846817"/>
    <w:rsid w:val="008600AC"/>
    <w:rsid w:val="00881F15"/>
    <w:rsid w:val="00883C94"/>
    <w:rsid w:val="008C7A8E"/>
    <w:rsid w:val="008E5EB5"/>
    <w:rsid w:val="00901BC2"/>
    <w:rsid w:val="00963AD8"/>
    <w:rsid w:val="00971EB9"/>
    <w:rsid w:val="0097691D"/>
    <w:rsid w:val="00990E9C"/>
    <w:rsid w:val="009915F1"/>
    <w:rsid w:val="009965E8"/>
    <w:rsid w:val="009D4256"/>
    <w:rsid w:val="009F4B5A"/>
    <w:rsid w:val="00A43E8B"/>
    <w:rsid w:val="00A57B1C"/>
    <w:rsid w:val="00A774A4"/>
    <w:rsid w:val="00A83976"/>
    <w:rsid w:val="00A90304"/>
    <w:rsid w:val="00AD6058"/>
    <w:rsid w:val="00AE37CD"/>
    <w:rsid w:val="00AF0112"/>
    <w:rsid w:val="00B241B4"/>
    <w:rsid w:val="00B25364"/>
    <w:rsid w:val="00B26B8E"/>
    <w:rsid w:val="00B34B3A"/>
    <w:rsid w:val="00B36A5D"/>
    <w:rsid w:val="00B46EFD"/>
    <w:rsid w:val="00B511DD"/>
    <w:rsid w:val="00BF3765"/>
    <w:rsid w:val="00C00417"/>
    <w:rsid w:val="00C64F16"/>
    <w:rsid w:val="00C66690"/>
    <w:rsid w:val="00C71333"/>
    <w:rsid w:val="00CB3904"/>
    <w:rsid w:val="00CC1AA6"/>
    <w:rsid w:val="00CC36C0"/>
    <w:rsid w:val="00CD0EDB"/>
    <w:rsid w:val="00D04323"/>
    <w:rsid w:val="00D05351"/>
    <w:rsid w:val="00D1150A"/>
    <w:rsid w:val="00D327EB"/>
    <w:rsid w:val="00D33A74"/>
    <w:rsid w:val="00D41222"/>
    <w:rsid w:val="00D53803"/>
    <w:rsid w:val="00D60810"/>
    <w:rsid w:val="00D62533"/>
    <w:rsid w:val="00D93837"/>
    <w:rsid w:val="00D966A4"/>
    <w:rsid w:val="00DA6815"/>
    <w:rsid w:val="00DB5BA5"/>
    <w:rsid w:val="00DD262B"/>
    <w:rsid w:val="00DE0AD3"/>
    <w:rsid w:val="00DE0EDB"/>
    <w:rsid w:val="00DE2BD5"/>
    <w:rsid w:val="00DE7D60"/>
    <w:rsid w:val="00DF146D"/>
    <w:rsid w:val="00E267FD"/>
    <w:rsid w:val="00E3018A"/>
    <w:rsid w:val="00E40CB2"/>
    <w:rsid w:val="00E42027"/>
    <w:rsid w:val="00E84C64"/>
    <w:rsid w:val="00E8763E"/>
    <w:rsid w:val="00ED30F7"/>
    <w:rsid w:val="00ED4C63"/>
    <w:rsid w:val="00ED5DEE"/>
    <w:rsid w:val="00EE2DBE"/>
    <w:rsid w:val="00EE3E33"/>
    <w:rsid w:val="00EF5CDE"/>
    <w:rsid w:val="00F077BD"/>
    <w:rsid w:val="00F07ED3"/>
    <w:rsid w:val="00F23D71"/>
    <w:rsid w:val="00F2504C"/>
    <w:rsid w:val="00F3487E"/>
    <w:rsid w:val="00F34CF3"/>
    <w:rsid w:val="00F354A7"/>
    <w:rsid w:val="00FC0DCF"/>
    <w:rsid w:val="00FC103B"/>
    <w:rsid w:val="00FC1C55"/>
    <w:rsid w:val="00FC5572"/>
    <w:rsid w:val="00FD7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F70322"/>
  <w15:chartTrackingRefBased/>
  <w15:docId w15:val="{BBF90313-43E2-4747-B383-471FE0C9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BA2"/>
    <w:rPr>
      <w:color w:val="0563C1" w:themeColor="hyperlink"/>
      <w:u w:val="single"/>
    </w:rPr>
  </w:style>
  <w:style w:type="character" w:styleId="UnresolvedMention">
    <w:name w:val="Unresolved Mention"/>
    <w:basedOn w:val="DefaultParagraphFont"/>
    <w:uiPriority w:val="99"/>
    <w:semiHidden/>
    <w:unhideWhenUsed/>
    <w:rsid w:val="005A2BA2"/>
    <w:rPr>
      <w:color w:val="605E5C"/>
      <w:shd w:val="clear" w:color="auto" w:fill="E1DFDD"/>
    </w:rPr>
  </w:style>
  <w:style w:type="paragraph" w:styleId="FootnoteText">
    <w:name w:val="footnote text"/>
    <w:basedOn w:val="Normal"/>
    <w:link w:val="FootnoteTextChar"/>
    <w:uiPriority w:val="99"/>
    <w:semiHidden/>
    <w:unhideWhenUsed/>
    <w:rsid w:val="005A2BA2"/>
    <w:rPr>
      <w:sz w:val="20"/>
      <w:szCs w:val="20"/>
    </w:rPr>
  </w:style>
  <w:style w:type="character" w:customStyle="1" w:styleId="FootnoteTextChar">
    <w:name w:val="Footnote Text Char"/>
    <w:basedOn w:val="DefaultParagraphFont"/>
    <w:link w:val="FootnoteText"/>
    <w:uiPriority w:val="99"/>
    <w:semiHidden/>
    <w:rsid w:val="005A2BA2"/>
    <w:rPr>
      <w:sz w:val="20"/>
      <w:szCs w:val="20"/>
    </w:rPr>
  </w:style>
  <w:style w:type="character" w:styleId="FootnoteReference">
    <w:name w:val="footnote reference"/>
    <w:basedOn w:val="DefaultParagraphFont"/>
    <w:uiPriority w:val="99"/>
    <w:semiHidden/>
    <w:unhideWhenUsed/>
    <w:rsid w:val="005A2BA2"/>
    <w:rPr>
      <w:vertAlign w:val="superscript"/>
    </w:rPr>
  </w:style>
  <w:style w:type="paragraph" w:styleId="ListParagraph">
    <w:name w:val="List Paragraph"/>
    <w:basedOn w:val="Normal"/>
    <w:uiPriority w:val="34"/>
    <w:qFormat/>
    <w:rsid w:val="00AE37CD"/>
    <w:pPr>
      <w:ind w:left="720"/>
      <w:contextualSpacing/>
    </w:pPr>
  </w:style>
  <w:style w:type="paragraph" w:styleId="Header">
    <w:name w:val="header"/>
    <w:basedOn w:val="Normal"/>
    <w:link w:val="HeaderChar"/>
    <w:uiPriority w:val="99"/>
    <w:unhideWhenUsed/>
    <w:rsid w:val="00ED4C63"/>
    <w:pPr>
      <w:tabs>
        <w:tab w:val="center" w:pos="4680"/>
        <w:tab w:val="right" w:pos="9360"/>
      </w:tabs>
    </w:pPr>
  </w:style>
  <w:style w:type="character" w:customStyle="1" w:styleId="HeaderChar">
    <w:name w:val="Header Char"/>
    <w:basedOn w:val="DefaultParagraphFont"/>
    <w:link w:val="Header"/>
    <w:uiPriority w:val="99"/>
    <w:rsid w:val="00ED4C63"/>
  </w:style>
  <w:style w:type="paragraph" w:styleId="Footer">
    <w:name w:val="footer"/>
    <w:basedOn w:val="Normal"/>
    <w:link w:val="FooterChar"/>
    <w:uiPriority w:val="99"/>
    <w:unhideWhenUsed/>
    <w:rsid w:val="00ED4C63"/>
    <w:pPr>
      <w:tabs>
        <w:tab w:val="center" w:pos="4680"/>
        <w:tab w:val="right" w:pos="9360"/>
      </w:tabs>
    </w:pPr>
  </w:style>
  <w:style w:type="character" w:customStyle="1" w:styleId="FooterChar">
    <w:name w:val="Footer Char"/>
    <w:basedOn w:val="DefaultParagraphFont"/>
    <w:link w:val="Footer"/>
    <w:uiPriority w:val="99"/>
    <w:rsid w:val="00ED4C63"/>
  </w:style>
  <w:style w:type="paragraph" w:styleId="NormalWeb">
    <w:name w:val="Normal (Web)"/>
    <w:basedOn w:val="Normal"/>
    <w:uiPriority w:val="99"/>
    <w:unhideWhenUsed/>
    <w:rsid w:val="002E43D6"/>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0022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847095">
      <w:bodyDiv w:val="1"/>
      <w:marLeft w:val="0"/>
      <w:marRight w:val="0"/>
      <w:marTop w:val="0"/>
      <w:marBottom w:val="0"/>
      <w:divBdr>
        <w:top w:val="none" w:sz="0" w:space="0" w:color="auto"/>
        <w:left w:val="none" w:sz="0" w:space="0" w:color="auto"/>
        <w:bottom w:val="none" w:sz="0" w:space="0" w:color="auto"/>
        <w:right w:val="none" w:sz="0" w:space="0" w:color="auto"/>
      </w:divBdr>
    </w:div>
    <w:div w:id="903683606">
      <w:bodyDiv w:val="1"/>
      <w:marLeft w:val="0"/>
      <w:marRight w:val="0"/>
      <w:marTop w:val="0"/>
      <w:marBottom w:val="0"/>
      <w:divBdr>
        <w:top w:val="none" w:sz="0" w:space="0" w:color="auto"/>
        <w:left w:val="none" w:sz="0" w:space="0" w:color="auto"/>
        <w:bottom w:val="none" w:sz="0" w:space="0" w:color="auto"/>
        <w:right w:val="none" w:sz="0" w:space="0" w:color="auto"/>
      </w:divBdr>
    </w:div>
    <w:div w:id="1405452138">
      <w:bodyDiv w:val="1"/>
      <w:marLeft w:val="0"/>
      <w:marRight w:val="0"/>
      <w:marTop w:val="0"/>
      <w:marBottom w:val="0"/>
      <w:divBdr>
        <w:top w:val="none" w:sz="0" w:space="0" w:color="auto"/>
        <w:left w:val="none" w:sz="0" w:space="0" w:color="auto"/>
        <w:bottom w:val="none" w:sz="0" w:space="0" w:color="auto"/>
        <w:right w:val="none" w:sz="0" w:space="0" w:color="auto"/>
      </w:divBdr>
      <w:divsChild>
        <w:div w:id="766315326">
          <w:marLeft w:val="0"/>
          <w:marRight w:val="0"/>
          <w:marTop w:val="0"/>
          <w:marBottom w:val="0"/>
          <w:divBdr>
            <w:top w:val="none" w:sz="0" w:space="0" w:color="auto"/>
            <w:left w:val="none" w:sz="0" w:space="0" w:color="auto"/>
            <w:bottom w:val="none" w:sz="0" w:space="0" w:color="auto"/>
            <w:right w:val="none" w:sz="0" w:space="0" w:color="auto"/>
          </w:divBdr>
          <w:divsChild>
            <w:div w:id="68961072">
              <w:marLeft w:val="0"/>
              <w:marRight w:val="0"/>
              <w:marTop w:val="0"/>
              <w:marBottom w:val="0"/>
              <w:divBdr>
                <w:top w:val="none" w:sz="0" w:space="0" w:color="auto"/>
                <w:left w:val="none" w:sz="0" w:space="0" w:color="auto"/>
                <w:bottom w:val="none" w:sz="0" w:space="0" w:color="auto"/>
                <w:right w:val="none" w:sz="0" w:space="0" w:color="auto"/>
              </w:divBdr>
              <w:divsChild>
                <w:div w:id="8644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er.miller_tate@kcl.ac.uk" TargetMode="External"/><Relationship Id="rId13" Type="http://schemas.openxmlformats.org/officeDocument/2006/relationships/hyperlink" Target="https://www.bihr.org.uk/blog/the-fight-against-covid-19-whose-life-counts/" TargetMode="External"/><Relationship Id="rId18" Type="http://schemas.openxmlformats.org/officeDocument/2006/relationships/hyperlink" Target="https://politicsandinsights.org/2020/04/02/nhs-is-being-protected-from-those-who-need-protecting-most-by-rationing-treatment-based-on-eugenic-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dependent.co.uk/news/health/coronavirus-nhs-treatment-disabled-autism-nice-covid-19-a9423441.html" TargetMode="External"/><Relationship Id="rId17" Type="http://schemas.openxmlformats.org/officeDocument/2006/relationships/hyperlink" Target="https://www.vox.com/first-person/2020/4/4/21204261/coronavirus-covid-19-disabled-people-disabilities-triage" TargetMode="External"/><Relationship Id="rId2" Type="http://schemas.openxmlformats.org/officeDocument/2006/relationships/numbering" Target="numbering.xml"/><Relationship Id="rId16" Type="http://schemas.openxmlformats.org/officeDocument/2006/relationships/hyperlink" Target="https://plato.stanford.edu/archives/spr2019/entries/kant-mor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terforpublicrep.org/wp-content/uploads/2020/03/OCR-Complaint_3-23-20-final.pdf" TargetMode="External"/><Relationship Id="rId5" Type="http://schemas.openxmlformats.org/officeDocument/2006/relationships/webSettings" Target="webSettings.xml"/><Relationship Id="rId15" Type="http://schemas.openxmlformats.org/officeDocument/2006/relationships/hyperlink" Target="https://ccm.pitt.edu/sites/default/files/UnivPittsburgh_ModelHospitalResourcePolicy_2020_04_15.pdf" TargetMode="External"/><Relationship Id="rId10" Type="http://schemas.openxmlformats.org/officeDocument/2006/relationships/hyperlink" Target="https://www.nytimes.com/2020/03/23/opinion/coronavirus-ventilators-triage-disability.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cd.gov/sites/default/files/NCD_Medical_Futility_Report_508.pdf" TargetMode="External"/><Relationship Id="rId14" Type="http://schemas.openxmlformats.org/officeDocument/2006/relationships/hyperlink" Target="https://www.bma.org.uk/media/2226/bma-covid-19-ethics-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8D937-9C4B-BA43-9C87-23B214F8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6</Pages>
  <Words>3201</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Miller Tate</dc:creator>
  <cp:keywords/>
  <dc:description/>
  <cp:lastModifiedBy>Alex Miller Tate</cp:lastModifiedBy>
  <cp:revision>129</cp:revision>
  <dcterms:created xsi:type="dcterms:W3CDTF">2020-04-27T08:58:00Z</dcterms:created>
  <dcterms:modified xsi:type="dcterms:W3CDTF">2020-06-03T15:36:00Z</dcterms:modified>
</cp:coreProperties>
</file>